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364" w:type="dxa"/>
        <w:tblInd w:w="-856" w:type="dxa"/>
        <w:tblLayout w:type="fixed"/>
        <w:tblLook w:val="04A0" w:firstRow="1" w:lastRow="0" w:firstColumn="1" w:lastColumn="0" w:noHBand="0" w:noVBand="1"/>
      </w:tblPr>
      <w:tblGrid>
        <w:gridCol w:w="2524"/>
        <w:gridCol w:w="992"/>
        <w:gridCol w:w="425"/>
        <w:gridCol w:w="29"/>
        <w:gridCol w:w="1276"/>
        <w:gridCol w:w="1388"/>
        <w:gridCol w:w="313"/>
        <w:gridCol w:w="254"/>
        <w:gridCol w:w="320"/>
        <w:gridCol w:w="106"/>
        <w:gridCol w:w="425"/>
        <w:gridCol w:w="1417"/>
        <w:gridCol w:w="851"/>
        <w:gridCol w:w="44"/>
      </w:tblGrid>
      <w:tr w:rsidR="00E46741" w:rsidRPr="005E3E04" w14:paraId="0BA69CE2" w14:textId="77777777" w:rsidTr="00A06AF7">
        <w:trPr>
          <w:trHeight w:val="1266"/>
        </w:trPr>
        <w:tc>
          <w:tcPr>
            <w:tcW w:w="10364" w:type="dxa"/>
            <w:gridSpan w:val="14"/>
            <w:shd w:val="clear" w:color="auto" w:fill="EDEDED" w:themeFill="accent3" w:themeFillTint="33"/>
            <w:vAlign w:val="center"/>
          </w:tcPr>
          <w:p w14:paraId="65125729" w14:textId="77777777" w:rsidR="00E46741" w:rsidRPr="005E3E04" w:rsidRDefault="00E46741" w:rsidP="00AF6C8A">
            <w:pPr>
              <w:tabs>
                <w:tab w:val="left" w:pos="2549"/>
                <w:tab w:val="center" w:pos="4638"/>
              </w:tabs>
              <w:jc w:val="center"/>
              <w:rPr>
                <w:rFonts w:ascii="Century Gothic" w:hAnsi="Century Gothic"/>
                <w:b/>
                <w:sz w:val="28"/>
                <w:szCs w:val="28"/>
              </w:rPr>
            </w:pPr>
            <w:r>
              <w:rPr>
                <w:rFonts w:ascii="Century Gothic" w:hAnsi="Century Gothic"/>
                <w:b/>
                <w:sz w:val="28"/>
                <w:szCs w:val="28"/>
              </w:rPr>
              <w:t>ESPECIFICACIONES TÉCNICAS PARA LA ADQUISICIÓN DE BIENES</w:t>
            </w:r>
          </w:p>
        </w:tc>
      </w:tr>
      <w:tr w:rsidR="00E46741" w:rsidRPr="005E3E04" w14:paraId="490244CA" w14:textId="77777777" w:rsidTr="00706895">
        <w:trPr>
          <w:trHeight w:val="557"/>
        </w:trPr>
        <w:tc>
          <w:tcPr>
            <w:tcW w:w="3970" w:type="dxa"/>
            <w:gridSpan w:val="4"/>
            <w:shd w:val="clear" w:color="auto" w:fill="E7B3E3"/>
            <w:vAlign w:val="center"/>
          </w:tcPr>
          <w:p w14:paraId="11DD4D8A" w14:textId="77777777" w:rsidR="00E46741" w:rsidRPr="005E3E04" w:rsidRDefault="00E46741" w:rsidP="00AF6C8A">
            <w:pPr>
              <w:rPr>
                <w:rFonts w:ascii="Century Gothic" w:hAnsi="Century Gothic"/>
                <w:b/>
                <w:sz w:val="28"/>
              </w:rPr>
            </w:pPr>
            <w:r>
              <w:rPr>
                <w:rFonts w:ascii="Century Gothic" w:hAnsi="Century Gothic"/>
                <w:b/>
                <w:sz w:val="28"/>
              </w:rPr>
              <w:t>Identificación del objeto:</w:t>
            </w:r>
          </w:p>
        </w:tc>
        <w:tc>
          <w:tcPr>
            <w:tcW w:w="6394" w:type="dxa"/>
            <w:gridSpan w:val="10"/>
            <w:shd w:val="clear" w:color="auto" w:fill="FFFFFF" w:themeFill="background1"/>
            <w:vAlign w:val="center"/>
          </w:tcPr>
          <w:p w14:paraId="71F46CE3" w14:textId="2636334C" w:rsidR="00E46741" w:rsidRPr="005E3E04" w:rsidRDefault="00E46741" w:rsidP="00AF6C8A">
            <w:pPr>
              <w:rPr>
                <w:rFonts w:ascii="Century Gothic" w:hAnsi="Century Gothic"/>
                <w:sz w:val="28"/>
              </w:rPr>
            </w:pPr>
            <w:r>
              <w:rPr>
                <w:rFonts w:ascii="Century Gothic" w:eastAsia="Arial Unicode MS" w:hAnsi="Century Gothic" w:cs="Arial"/>
                <w:sz w:val="24"/>
                <w:szCs w:val="24"/>
                <w:highlight w:val="yellow"/>
              </w:rPr>
              <w:t>ADQUISICIÓN</w:t>
            </w:r>
            <w:r>
              <w:rPr>
                <w:rFonts w:ascii="Century Gothic" w:eastAsia="Arial Unicode MS" w:hAnsi="Century Gothic" w:cs="Arial"/>
                <w:sz w:val="24"/>
                <w:szCs w:val="24"/>
              </w:rPr>
              <w:t>…………..</w:t>
            </w:r>
          </w:p>
        </w:tc>
      </w:tr>
      <w:tr w:rsidR="00E46741" w:rsidRPr="005E3E04" w14:paraId="68A12605" w14:textId="77777777" w:rsidTr="00706895">
        <w:trPr>
          <w:trHeight w:val="559"/>
        </w:trPr>
        <w:tc>
          <w:tcPr>
            <w:tcW w:w="3970" w:type="dxa"/>
            <w:gridSpan w:val="4"/>
            <w:shd w:val="clear" w:color="auto" w:fill="E7B3E3"/>
            <w:vAlign w:val="center"/>
          </w:tcPr>
          <w:p w14:paraId="7715CAD4" w14:textId="77777777" w:rsidR="00E46741" w:rsidRPr="005E3E04" w:rsidRDefault="00E46741" w:rsidP="00AF6C8A">
            <w:pPr>
              <w:rPr>
                <w:rFonts w:ascii="Century Gothic" w:hAnsi="Century Gothic"/>
                <w:b/>
                <w:sz w:val="28"/>
              </w:rPr>
            </w:pPr>
            <w:r>
              <w:rPr>
                <w:rFonts w:ascii="Century Gothic" w:hAnsi="Century Gothic"/>
                <w:b/>
                <w:sz w:val="28"/>
              </w:rPr>
              <w:t>FECHA:</w:t>
            </w:r>
            <w:r>
              <w:rPr>
                <w:rFonts w:ascii="Century Gothic" w:eastAsia="Times New Roman" w:hAnsi="Century Gothic"/>
                <w:bCs/>
                <w:sz w:val="20"/>
                <w:szCs w:val="24"/>
                <w:lang w:eastAsia="es-ES"/>
              </w:rPr>
              <w:t xml:space="preserve"> </w:t>
            </w:r>
            <w:r>
              <w:rPr>
                <w:rFonts w:ascii="Century Gothic" w:eastAsia="Times New Roman" w:hAnsi="Century Gothic"/>
                <w:bCs/>
                <w:sz w:val="18"/>
                <w:szCs w:val="18"/>
                <w:lang w:eastAsia="es-ES"/>
              </w:rPr>
              <w:t>(día/mes/año)</w:t>
            </w:r>
          </w:p>
        </w:tc>
        <w:tc>
          <w:tcPr>
            <w:tcW w:w="6394" w:type="dxa"/>
            <w:gridSpan w:val="10"/>
            <w:vAlign w:val="center"/>
          </w:tcPr>
          <w:p w14:paraId="1A1311DE" w14:textId="13427367" w:rsidR="00E46741" w:rsidRPr="005E3E04" w:rsidRDefault="00E46741" w:rsidP="00AF6C8A">
            <w:pPr>
              <w:rPr>
                <w:rFonts w:ascii="Century Gothic" w:hAnsi="Century Gothic"/>
                <w:sz w:val="28"/>
                <w:highlight w:val="yellow"/>
              </w:rPr>
            </w:pPr>
            <w:r>
              <w:rPr>
                <w:rFonts w:ascii="Century Gothic" w:hAnsi="Century Gothic"/>
                <w:sz w:val="28"/>
                <w:highlight w:val="yellow"/>
              </w:rPr>
              <w:t>DD-MM-AAAA</w:t>
            </w:r>
          </w:p>
        </w:tc>
      </w:tr>
      <w:tr w:rsidR="00E46741" w:rsidRPr="005E3E04" w14:paraId="655D9640" w14:textId="77777777" w:rsidTr="00706895">
        <w:trPr>
          <w:trHeight w:val="411"/>
        </w:trPr>
        <w:tc>
          <w:tcPr>
            <w:tcW w:w="3970" w:type="dxa"/>
            <w:gridSpan w:val="4"/>
            <w:vMerge w:val="restart"/>
            <w:shd w:val="clear" w:color="auto" w:fill="E7B3E3"/>
            <w:vAlign w:val="center"/>
          </w:tcPr>
          <w:p w14:paraId="093C8CC0" w14:textId="77777777" w:rsidR="00E46741" w:rsidRPr="005E3E04" w:rsidRDefault="00E46741" w:rsidP="00AF6C8A">
            <w:pPr>
              <w:rPr>
                <w:rFonts w:ascii="Century Gothic" w:hAnsi="Century Gothic"/>
                <w:b/>
                <w:sz w:val="28"/>
              </w:rPr>
            </w:pPr>
            <w:r>
              <w:rPr>
                <w:rFonts w:ascii="Century Gothic" w:hAnsi="Century Gothic"/>
                <w:b/>
                <w:sz w:val="28"/>
              </w:rPr>
              <w:t>Funcionario responsable:</w:t>
            </w:r>
          </w:p>
        </w:tc>
        <w:tc>
          <w:tcPr>
            <w:tcW w:w="2977" w:type="dxa"/>
            <w:gridSpan w:val="3"/>
            <w:tcBorders>
              <w:bottom w:val="single" w:sz="4" w:space="0" w:color="auto"/>
            </w:tcBorders>
            <w:shd w:val="clear" w:color="auto" w:fill="CEB8DA"/>
            <w:vAlign w:val="center"/>
          </w:tcPr>
          <w:p w14:paraId="72F049AF" w14:textId="77777777" w:rsidR="00E46741" w:rsidRPr="005E3E04" w:rsidRDefault="00E46741" w:rsidP="00AF6C8A">
            <w:pPr>
              <w:jc w:val="both"/>
              <w:rPr>
                <w:rFonts w:ascii="Century Gothic" w:eastAsia="Times New Roman" w:hAnsi="Century Gothic"/>
                <w:b/>
                <w:sz w:val="18"/>
                <w:lang w:eastAsia="es-ES"/>
              </w:rPr>
            </w:pPr>
            <w:r>
              <w:rPr>
                <w:rFonts w:ascii="Century Gothic" w:eastAsia="Times New Roman" w:hAnsi="Century Gothic"/>
                <w:b/>
                <w:sz w:val="18"/>
                <w:lang w:eastAsia="es-ES"/>
              </w:rPr>
              <w:t>Nombre del funcionario responsable:</w:t>
            </w:r>
          </w:p>
        </w:tc>
        <w:tc>
          <w:tcPr>
            <w:tcW w:w="3417" w:type="dxa"/>
            <w:gridSpan w:val="7"/>
            <w:tcBorders>
              <w:bottom w:val="single" w:sz="4" w:space="0" w:color="auto"/>
            </w:tcBorders>
            <w:shd w:val="clear" w:color="auto" w:fill="CEB8DA"/>
            <w:vAlign w:val="center"/>
          </w:tcPr>
          <w:p w14:paraId="0747B7AA" w14:textId="77777777" w:rsidR="00E46741" w:rsidRPr="005E3E04" w:rsidRDefault="00E46741" w:rsidP="00AF6C8A">
            <w:pPr>
              <w:rPr>
                <w:rFonts w:ascii="Century Gothic" w:eastAsia="Times New Roman" w:hAnsi="Century Gothic"/>
                <w:b/>
                <w:sz w:val="18"/>
                <w:lang w:eastAsia="es-ES"/>
              </w:rPr>
            </w:pPr>
            <w:r>
              <w:rPr>
                <w:rFonts w:ascii="Century Gothic" w:eastAsia="Times New Roman" w:hAnsi="Century Gothic"/>
                <w:b/>
                <w:sz w:val="18"/>
                <w:lang w:eastAsia="es-ES"/>
              </w:rPr>
              <w:t>Cargo del funcionario:</w:t>
            </w:r>
          </w:p>
        </w:tc>
      </w:tr>
      <w:tr w:rsidR="00E46741" w:rsidRPr="005E3E04" w14:paraId="1F30E320" w14:textId="77777777" w:rsidTr="00706895">
        <w:trPr>
          <w:trHeight w:val="397"/>
        </w:trPr>
        <w:tc>
          <w:tcPr>
            <w:tcW w:w="3970" w:type="dxa"/>
            <w:gridSpan w:val="4"/>
            <w:vMerge/>
            <w:tcBorders>
              <w:bottom w:val="single" w:sz="4" w:space="0" w:color="auto"/>
            </w:tcBorders>
            <w:shd w:val="clear" w:color="auto" w:fill="E7B3E3"/>
          </w:tcPr>
          <w:p w14:paraId="5259F682" w14:textId="77777777" w:rsidR="00E46741" w:rsidRPr="005E3E04" w:rsidRDefault="00E46741" w:rsidP="00AF6C8A">
            <w:pPr>
              <w:rPr>
                <w:rFonts w:ascii="Century Gothic" w:hAnsi="Century Gothic"/>
                <w:b/>
                <w:sz w:val="28"/>
              </w:rPr>
            </w:pPr>
          </w:p>
        </w:tc>
        <w:tc>
          <w:tcPr>
            <w:tcW w:w="2977" w:type="dxa"/>
            <w:gridSpan w:val="3"/>
            <w:tcBorders>
              <w:bottom w:val="single" w:sz="4" w:space="0" w:color="auto"/>
            </w:tcBorders>
            <w:vAlign w:val="center"/>
          </w:tcPr>
          <w:p w14:paraId="6052AA39" w14:textId="05FC2FE1" w:rsidR="00E46741" w:rsidRPr="005E3E04" w:rsidRDefault="00E46741" w:rsidP="00AF6C8A">
            <w:pPr>
              <w:rPr>
                <w:rFonts w:ascii="Century Gothic" w:eastAsia="Times New Roman" w:hAnsi="Century Gothic"/>
                <w:bCs/>
                <w:szCs w:val="28"/>
                <w:highlight w:val="yellow"/>
                <w:lang w:eastAsia="es-ES"/>
              </w:rPr>
            </w:pPr>
          </w:p>
        </w:tc>
        <w:tc>
          <w:tcPr>
            <w:tcW w:w="3417" w:type="dxa"/>
            <w:gridSpan w:val="7"/>
            <w:tcBorders>
              <w:bottom w:val="single" w:sz="4" w:space="0" w:color="auto"/>
            </w:tcBorders>
            <w:vAlign w:val="center"/>
          </w:tcPr>
          <w:p w14:paraId="5E59341B" w14:textId="77777777" w:rsidR="00E46741" w:rsidRPr="005E3E04" w:rsidRDefault="00E46741" w:rsidP="00AF6C8A">
            <w:pPr>
              <w:rPr>
                <w:rFonts w:ascii="Century Gothic" w:eastAsia="Times New Roman" w:hAnsi="Century Gothic"/>
                <w:bCs/>
                <w:szCs w:val="28"/>
                <w:highlight w:val="yellow"/>
                <w:lang w:eastAsia="es-ES"/>
              </w:rPr>
            </w:pPr>
            <w:r>
              <w:rPr>
                <w:rFonts w:ascii="Century Gothic" w:hAnsi="Century Gothic"/>
                <w:sz w:val="24"/>
                <w:szCs w:val="20"/>
                <w:highlight w:val="yellow"/>
              </w:rPr>
              <w:t>CARGO DEL FUNCIONARIO RESPONSABLE</w:t>
            </w:r>
          </w:p>
        </w:tc>
      </w:tr>
      <w:tr w:rsidR="00E46741" w:rsidRPr="005E3E04" w14:paraId="7E611108" w14:textId="77777777" w:rsidTr="00706895">
        <w:tc>
          <w:tcPr>
            <w:tcW w:w="10364" w:type="dxa"/>
            <w:gridSpan w:val="14"/>
            <w:tcBorders>
              <w:left w:val="single" w:sz="4" w:space="0" w:color="auto"/>
              <w:right w:val="single" w:sz="4" w:space="0" w:color="auto"/>
            </w:tcBorders>
            <w:shd w:val="clear" w:color="auto" w:fill="auto"/>
          </w:tcPr>
          <w:p w14:paraId="31860B02" w14:textId="77777777" w:rsidR="00E46741" w:rsidRPr="005E3E04" w:rsidRDefault="00E46741" w:rsidP="00AF6C8A">
            <w:pPr>
              <w:tabs>
                <w:tab w:val="left" w:pos="230"/>
              </w:tabs>
              <w:rPr>
                <w:rFonts w:ascii="Century Gothic" w:hAnsi="Century Gothic"/>
                <w:b/>
                <w:sz w:val="32"/>
              </w:rPr>
            </w:pPr>
            <w:r>
              <w:rPr>
                <w:rFonts w:ascii="Century Gothic" w:hAnsi="Century Gothic"/>
                <w:b/>
                <w:sz w:val="32"/>
              </w:rPr>
              <w:tab/>
            </w:r>
          </w:p>
        </w:tc>
      </w:tr>
      <w:tr w:rsidR="00E46741" w:rsidRPr="005E3E04" w14:paraId="1DA8C2AF" w14:textId="77777777" w:rsidTr="00A06AF7">
        <w:tc>
          <w:tcPr>
            <w:tcW w:w="10364" w:type="dxa"/>
            <w:gridSpan w:val="14"/>
            <w:tcBorders>
              <w:bottom w:val="single" w:sz="4" w:space="0" w:color="auto"/>
            </w:tcBorders>
            <w:shd w:val="clear" w:color="auto" w:fill="E7B3E3"/>
          </w:tcPr>
          <w:p w14:paraId="6CD760C8" w14:textId="06E83CB9" w:rsidR="00E46741" w:rsidRPr="005E3E04" w:rsidRDefault="00E46741" w:rsidP="00AF6C8A">
            <w:pPr>
              <w:pStyle w:val="Default"/>
              <w:jc w:val="both"/>
              <w:rPr>
                <w:rFonts w:ascii="Century Gothic" w:hAnsi="Century Gothic"/>
                <w:color w:val="auto"/>
                <w:sz w:val="20"/>
              </w:rPr>
            </w:pPr>
            <w:r>
              <w:rPr>
                <w:rFonts w:ascii="Century Gothic" w:hAnsi="Century Gothic"/>
                <w:b/>
                <w:color w:val="auto"/>
                <w:sz w:val="20"/>
              </w:rPr>
              <w:t xml:space="preserve">Instrucciones: </w:t>
            </w:r>
            <w:r>
              <w:rPr>
                <w:rFonts w:ascii="Century Gothic" w:hAnsi="Century Gothic"/>
                <w:color w:val="auto"/>
                <w:sz w:val="20"/>
              </w:rPr>
              <w:t xml:space="preserve">El técnico del área requirente deberá llenar el presente documento que contiene las especificaciones </w:t>
            </w:r>
            <w:r>
              <w:rPr>
                <w:rFonts w:ascii="Century Gothic" w:hAnsi="Century Gothic"/>
                <w:color w:val="auto"/>
                <w:sz w:val="20"/>
                <w:shd w:val="clear" w:color="auto" w:fill="E7B3E3"/>
              </w:rPr>
              <w:t xml:space="preserve">técnicas de los bienes que desea contratar, de conformidad con los Art. 77 del Reglamento General de la LOSNCP.</w:t>
            </w:r>
          </w:p>
        </w:tc>
      </w:tr>
      <w:tr>
        <w:trPr>
          <w:trHeight w:val="200"/>
        </w:trPr>
        <w:tc>
          <w:tcPr>
            <w:tcW w:w="10364" w:type="dxa"/>
            <w:gridSpan w:val="14"/>
            <w:tcBorders>
              <w:left w:val="single" w:sz="4" w:space="0" w:color="auto"/>
              <w:right w:val="single" w:sz="4" w:space="0" w:color="auto"/>
            </w:tcBorders>
            <w:shd w:val="clear" w:color="auto" w:fill="F2F2F2"/>
          </w:tcPr>
          <w:p>
            <w:pPr>
              <w:jc w:val="both"/>
              <w:rPr>
                <w:rFonts w:ascii="Century Gothic" w:hAnsi="Century Gothic"/>
                <w:sz w:val="18"/>
                <w:szCs w:val="18"/>
              </w:rPr>
            </w:pPr>
            <w:r>
              <w:rPr>
                <w:rFonts w:ascii="Century Gothic" w:hAnsi="Century Gothic"/>
                <w:b/>
                <w:sz w:val="18"/>
                <w:szCs w:val="18"/>
              </w:rPr>
              <w:t xml:space="preserve">LEYENDA: </w:t>
            </w:r>
            <w:r>
              <w:rPr>
                <w:rFonts w:ascii="Century Gothic" w:hAnsi="Century Gothic"/>
                <w:sz w:val="18"/>
                <w:szCs w:val="18"/>
              </w:rPr>
              <w:t xml:space="preserve">los campos </w:t>
            </w:r>
            <w:r>
              <w:rPr>
                <w:rFonts w:ascii="Century Gothic" w:hAnsi="Century Gothic"/>
                <w:sz w:val="18"/>
                <w:szCs w:val="18"/>
                <w:highlight w:val="yellow"/>
              </w:rPr>
              <w:t>resaltados en amarillo</w:t>
            </w:r>
            <w:r>
              <w:rPr>
                <w:rFonts w:ascii="Century Gothic" w:hAnsi="Century Gothic"/>
                <w:sz w:val="18"/>
                <w:szCs w:val="18"/>
              </w:rPr>
              <w:t xml:space="preserve"> son de libre llenado o adaptación para cada proceso de contratación. El texto sin resaltar (base normativa, estructura, numeración y encabezados del formato) corresponde al contenido fijo del documento y no debe modificarse sin autorización previa de la Dirección/Unidad Jurídica.</w:t>
            </w:r>
          </w:p>
        </w:tc>
      </w:tr>
      <w:tr w:rsidR="00816374" w:rsidRPr="005E3E04" w14:paraId="5E3DADD7" w14:textId="77777777" w:rsidTr="00706895">
        <w:trPr>
          <w:trHeight w:val="993"/>
        </w:trPr>
        <w:tc>
          <w:tcPr>
            <w:tcW w:w="10364" w:type="dxa"/>
            <w:gridSpan w:val="14"/>
            <w:tcBorders>
              <w:left w:val="single" w:sz="4" w:space="0" w:color="auto"/>
              <w:right w:val="single" w:sz="4" w:space="0" w:color="auto"/>
            </w:tcBorders>
            <w:shd w:val="clear" w:color="auto" w:fill="E7B3E3"/>
          </w:tcPr>
          <w:p w14:paraId="6E4167F2" w14:textId="27602252" w:rsidR="003D553E" w:rsidRPr="003D553E" w:rsidRDefault="00EB08D2" w:rsidP="003D553E">
            <w:pPr>
              <w:jc w:val="both"/>
              <w:rPr>
                <w:rFonts w:ascii="Century Gothic" w:eastAsia="Times New Roman" w:hAnsi="Century Gothic"/>
                <w:b/>
                <w:bCs/>
                <w:sz w:val="28"/>
                <w:szCs w:val="20"/>
                <w:lang w:eastAsia="es-ES"/>
              </w:rPr>
            </w:pPr>
            <w:r>
              <w:rPr>
                <w:rFonts w:ascii="Century Gothic" w:eastAsia="Times New Roman" w:hAnsi="Century Gothic"/>
                <w:b/>
                <w:bCs/>
                <w:sz w:val="28"/>
                <w:szCs w:val="20"/>
                <w:lang w:eastAsia="es-ES"/>
              </w:rPr>
              <w:t xml:space="preserve">1. Antecedentes </w:t>
            </w:r>
          </w:p>
        </w:tc>
      </w:tr>
      <w:tr w:rsidR="00B26A25" w:rsidRPr="005E3E04" w14:paraId="02244FF2" w14:textId="77777777" w:rsidTr="00C14661">
        <w:trPr>
          <w:trHeight w:val="993"/>
        </w:trPr>
        <w:tc>
          <w:tcPr>
            <w:tcW w:w="10364" w:type="dxa"/>
            <w:gridSpan w:val="14"/>
            <w:tcBorders>
              <w:left w:val="single" w:sz="4" w:space="0" w:color="auto"/>
              <w:right w:val="single" w:sz="4" w:space="0" w:color="auto"/>
            </w:tcBorders>
            <w:shd w:val="clear" w:color="auto" w:fill="auto"/>
          </w:tcPr>
          <w:p w14:paraId="1DC9306F" w14:textId="77777777" w:rsidR="00B26A25" w:rsidRDefault="00B26A25" w:rsidP="003D553E">
            <w:pPr>
              <w:jc w:val="both"/>
              <w:rPr>
                <w:rFonts w:ascii="Century Gothic" w:eastAsia="Times New Roman" w:hAnsi="Century Gothic"/>
                <w:b/>
                <w:bCs/>
                <w:sz w:val="28"/>
                <w:szCs w:val="20"/>
                <w:lang w:eastAsia="es-ES"/>
              </w:rPr>
            </w:pPr>
          </w:p>
          <w:p w14:paraId="50D4789F" w14:textId="32450B24" w:rsidR="00C14661" w:rsidRPr="00C14661" w:rsidRDefault="00C14661" w:rsidP="00C14661">
            <w:pPr>
              <w:rPr>
                <w:rFonts w:ascii="Century Gothic" w:eastAsia="Times New Roman" w:hAnsi="Century Gothic"/>
                <w:sz w:val="28"/>
                <w:szCs w:val="20"/>
                <w:lang w:eastAsia="es-ES"/>
              </w:rPr>
            </w:pPr>
          </w:p>
        </w:tc>
      </w:tr>
      <w:tr w:rsidR="00B26A25" w:rsidRPr="005E3E04" w14:paraId="14543A98" w14:textId="77777777" w:rsidTr="00706895">
        <w:trPr>
          <w:trHeight w:val="993"/>
        </w:trPr>
        <w:tc>
          <w:tcPr>
            <w:tcW w:w="10364" w:type="dxa"/>
            <w:gridSpan w:val="14"/>
            <w:tcBorders>
              <w:left w:val="single" w:sz="4" w:space="0" w:color="auto"/>
              <w:right w:val="single" w:sz="4" w:space="0" w:color="auto"/>
            </w:tcBorders>
            <w:shd w:val="clear" w:color="auto" w:fill="E7B3E3"/>
          </w:tcPr>
          <w:p w14:paraId="2D8CF9B4" w14:textId="2FF0BA1A" w:rsidR="00B26A25" w:rsidRPr="005E3E04" w:rsidRDefault="00B26A25" w:rsidP="003D553E">
            <w:pPr>
              <w:jc w:val="both"/>
              <w:rPr>
                <w:rFonts w:ascii="Century Gothic" w:eastAsia="Times New Roman" w:hAnsi="Century Gothic"/>
                <w:b/>
                <w:bCs/>
                <w:sz w:val="28"/>
                <w:szCs w:val="20"/>
                <w:lang w:eastAsia="es-ES"/>
              </w:rPr>
            </w:pPr>
            <w:r>
              <w:rPr>
                <w:rFonts w:ascii="Century Gothic" w:eastAsia="Times New Roman" w:hAnsi="Century Gothic"/>
                <w:b/>
                <w:bCs/>
                <w:sz w:val="28"/>
                <w:szCs w:val="20"/>
                <w:lang w:eastAsia="es-ES"/>
              </w:rPr>
              <w:t>2. Base Normativa</w:t>
            </w:r>
          </w:p>
        </w:tc>
      </w:tr>
      <w:tr w:rsidR="00706895" w:rsidRPr="005E3E04" w14:paraId="0769DA07" w14:textId="77777777" w:rsidTr="00706895">
        <w:tc>
          <w:tcPr>
            <w:tcW w:w="10364" w:type="dxa"/>
            <w:gridSpan w:val="14"/>
            <w:tcBorders>
              <w:left w:val="single" w:sz="4" w:space="0" w:color="auto"/>
              <w:right w:val="single" w:sz="4" w:space="0" w:color="auto"/>
            </w:tcBorders>
            <w:shd w:val="clear" w:color="auto" w:fill="auto"/>
            <w:vAlign w:val="center"/>
          </w:tcPr>
          <w:p w14:paraId="0000F4CA" w14:textId="77777777" w:rsidR="00C812FD" w:rsidRDefault="00C812FD" w:rsidP="00295AF7">
            <w:pPr>
              <w:jc w:val="both"/>
              <w:rPr>
                <w:rFonts w:ascii="Century Gothic" w:hAnsi="Century Gothic" w:cs="Arial"/>
                <w:b/>
                <w:bCs/>
                <w:sz w:val="32"/>
                <w:szCs w:val="20"/>
                <w:highlight w:val="yellow"/>
              </w:rPr>
            </w:pPr>
          </w:p>
          <w:p w14:paraId="0EA82796" w14:textId="77777777" w:rsidR="003D5CA8" w:rsidRPr="00285A8B" w:rsidRDefault="003D5CA8" w:rsidP="003D5CA8">
            <w:pPr>
              <w:spacing w:before="240"/>
              <w:jc w:val="both"/>
              <w:rPr>
                <w:rFonts w:ascii="Century Gothic" w:hAnsi="Century Gothic" w:cs="Arial"/>
                <w:b/>
                <w:i/>
                <w:sz w:val="24"/>
                <w:szCs w:val="20"/>
              </w:rPr>
            </w:pPr>
            <w:r>
              <w:rPr>
                <w:rFonts w:ascii="Century Gothic" w:hAnsi="Century Gothic" w:cs="Arial"/>
                <w:b/>
                <w:i/>
                <w:sz w:val="24"/>
                <w:szCs w:val="20"/>
                <w:highlight w:val="yellow"/>
              </w:rPr>
              <w:t>VERIFICAR NORMATIVA ACORDE AL PROCESO DE CONTRATACION, CASO CONTRARIO ELIMINAR LA NORMATIVA QUE NO AJUSTE AL PROCESO A EJECUTARSE</w:t>
            </w:r>
            <w:r>
              <w:rPr>
                <w:rFonts w:ascii="Century Gothic" w:hAnsi="Century Gothic" w:cs="Arial"/>
                <w:b/>
                <w:i/>
                <w:sz w:val="24"/>
                <w:szCs w:val="20"/>
              </w:rPr>
              <w:t xml:space="preserve"> </w:t>
            </w:r>
          </w:p>
          <w:p w14:paraId="50DB3C53" w14:textId="77777777" w:rsidR="00E87565" w:rsidRDefault="00E87565" w:rsidP="00295AF7">
            <w:pPr>
              <w:jc w:val="both"/>
              <w:rPr>
                <w:rFonts w:ascii="Century Gothic" w:hAnsi="Century Gothic" w:cs="Arial"/>
                <w:b/>
                <w:bCs/>
                <w:sz w:val="32"/>
                <w:szCs w:val="20"/>
                <w:highlight w:val="yellow"/>
              </w:rPr>
            </w:pPr>
          </w:p>
          <w:p w14:paraId="7DF3CD7B" w14:textId="4647F051" w:rsidR="00706895" w:rsidRPr="00A562AC" w:rsidRDefault="00A562AC" w:rsidP="00295AF7">
            <w:pPr>
              <w:jc w:val="both"/>
              <w:rPr>
                <w:rFonts w:ascii="Century Gothic" w:hAnsi="Century Gothic" w:cs="Arial"/>
                <w:b/>
                <w:bCs/>
                <w:sz w:val="32"/>
                <w:szCs w:val="20"/>
              </w:rPr>
            </w:pPr>
            <w:r>
              <w:rPr>
                <w:rFonts w:ascii="Century Gothic" w:hAnsi="Century Gothic" w:cs="Arial"/>
                <w:b/>
                <w:bCs/>
                <w:sz w:val="32"/>
                <w:szCs w:val="20"/>
                <w:highlight w:val="yellow"/>
              </w:rPr>
              <w:t>PARA INFIMA CUANTÍA</w:t>
            </w:r>
          </w:p>
          <w:p w14:paraId="6328ABD5" w14:textId="77777777" w:rsidR="00A562AC" w:rsidRPr="00A562AC" w:rsidRDefault="00A562AC" w:rsidP="00295AF7">
            <w:pPr>
              <w:jc w:val="both"/>
              <w:rPr>
                <w:rFonts w:ascii="Century Gothic" w:hAnsi="Century Gothic" w:cs="Arial"/>
                <w:b/>
                <w:bCs/>
                <w:sz w:val="32"/>
                <w:szCs w:val="20"/>
              </w:rPr>
            </w:pPr>
          </w:p>
          <w:p w14:paraId="0D1EDD06" w14:textId="77777777" w:rsidR="00706895" w:rsidRPr="009C3A0E" w:rsidRDefault="00706895" w:rsidP="00295AF7">
            <w:pPr>
              <w:jc w:val="both"/>
              <w:rPr>
                <w:rFonts w:ascii="Century Gothic" w:hAnsi="Century Gothic" w:cs="Arial"/>
                <w:b/>
                <w:bCs/>
                <w:sz w:val="20"/>
                <w:szCs w:val="20"/>
              </w:rPr>
            </w:pPr>
            <w:r>
              <w:rPr>
                <w:rFonts w:ascii="Century Gothic" w:hAnsi="Century Gothic" w:cs="Arial"/>
                <w:b/>
                <w:bCs/>
                <w:sz w:val="20"/>
                <w:szCs w:val="20"/>
              </w:rPr>
              <w:t>CONSTITUCIÓN DE LA REPUBLICA DEL ECUADOR</w:t>
            </w:r>
          </w:p>
          <w:p w14:paraId="7411F409" w14:textId="27529133" w:rsidR="00706895" w:rsidRPr="009C3A0E" w:rsidRDefault="00706895" w:rsidP="00295AF7">
            <w:pPr>
              <w:spacing w:before="240"/>
              <w:jc w:val="both"/>
              <w:rPr>
                <w:rFonts w:ascii="Century Gothic" w:hAnsi="Century Gothic" w:cs="Arial"/>
                <w:sz w:val="20"/>
                <w:szCs w:val="20"/>
              </w:rPr>
            </w:pPr>
            <w:r>
              <w:rPr>
                <w:rFonts w:ascii="Century Gothic" w:hAnsi="Century Gothic" w:cs="Arial"/>
                <w:b/>
                <w:sz w:val="20"/>
                <w:szCs w:val="20"/>
              </w:rPr>
              <w:t>Art. 226.-</w:t>
            </w:r>
            <w:r>
              <w:rPr>
                <w:rFonts w:ascii="Century Gothic" w:hAnsi="Century Gothic" w:cs="Arial"/>
                <w:sz w:val="20"/>
                <w:szCs w:val="20"/>
              </w:rPr>
              <w:t xml:space="preserve"> 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14:paraId="6FCBFAB2" w14:textId="067A5A37" w:rsidR="00706895" w:rsidRPr="009C3A0E" w:rsidRDefault="001A719B" w:rsidP="00295AF7">
            <w:pPr>
              <w:spacing w:before="240"/>
              <w:jc w:val="both"/>
              <w:rPr>
                <w:rFonts w:ascii="Century Gothic" w:hAnsi="Century Gothic" w:cs="Arial"/>
                <w:sz w:val="20"/>
                <w:szCs w:val="20"/>
              </w:rPr>
            </w:pPr>
            <w:r>
              <w:rPr>
                <w:rFonts w:ascii="Century Gothic" w:hAnsi="Century Gothic" w:cs="Arial"/>
                <w:b/>
                <w:sz w:val="20"/>
                <w:szCs w:val="20"/>
              </w:rPr>
              <w:t>Art. 227.-</w:t>
            </w:r>
            <w:r>
              <w:rPr>
                <w:rFonts w:ascii="Century Gothic" w:hAnsi="Century Gothic" w:cs="Arial"/>
                <w:sz w:val="20"/>
                <w:szCs w:val="20"/>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p>
          <w:p w14:paraId="7F5D818F" w14:textId="6E213B6E" w:rsidR="00706895" w:rsidRDefault="00706895" w:rsidP="00295AF7">
            <w:pPr>
              <w:spacing w:before="240"/>
              <w:jc w:val="both"/>
              <w:rPr>
                <w:rFonts w:ascii="Century Gothic" w:hAnsi="Century Gothic" w:cs="Arial"/>
                <w:sz w:val="20"/>
                <w:szCs w:val="20"/>
              </w:rPr>
            </w:pPr>
            <w:r>
              <w:rPr>
                <w:rFonts w:ascii="Century Gothic" w:hAnsi="Century Gothic" w:cs="Arial"/>
                <w:b/>
                <w:sz w:val="20"/>
                <w:szCs w:val="20"/>
              </w:rPr>
              <w:t>Art. 288</w:t>
            </w:r>
            <w:r>
              <w:rPr>
                <w:rFonts w:ascii="Century Gothic" w:hAnsi="Century Gothic" w:cs="Arial"/>
                <w:sz w:val="20"/>
                <w:szCs w:val="20"/>
              </w:rPr>
              <w:t xml:space="preserve">.- </w:t>
            </w:r>
            <w:bookmarkStart w:id="0" w:name="_Hlk207004088"/>
            <w:r>
              <w:rPr>
                <w:rFonts w:ascii="Century Gothic" w:hAnsi="Century Gothic" w:cs="Arial"/>
                <w:sz w:val="20"/>
                <w:szCs w:val="20"/>
              </w:rPr>
              <w:t>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bookmarkEnd w:id="0"/>
            <w:r>
              <w:rPr>
                <w:rFonts w:ascii="Century Gothic" w:hAnsi="Century Gothic" w:cs="Arial"/>
                <w:sz w:val="20"/>
                <w:szCs w:val="20"/>
              </w:rPr>
              <w:t>”;</w:t>
            </w:r>
          </w:p>
          <w:p w14:paraId="15FF037C" w14:textId="77777777" w:rsidR="00295AF7" w:rsidRPr="009C3A0E" w:rsidRDefault="00295AF7" w:rsidP="00295AF7">
            <w:pPr>
              <w:jc w:val="both"/>
              <w:rPr>
                <w:rFonts w:ascii="Century Gothic" w:hAnsi="Century Gothic" w:cs="Arial"/>
                <w:b/>
                <w:bCs/>
                <w:sz w:val="20"/>
                <w:szCs w:val="20"/>
                <w:lang w:val="es-ES"/>
              </w:rPr>
            </w:pPr>
            <w:bookmarkStart w:id="1" w:name="_GoBack"/>
            <w:bookmarkEnd w:id="1"/>
          </w:p>
          <w:p w14:paraId="782C8801" w14:textId="73355FF8" w:rsidR="00C14196" w:rsidRPr="009C3A0E" w:rsidRDefault="00C14196" w:rsidP="00295AF7">
            <w:pPr>
              <w:jc w:val="both"/>
              <w:rPr>
                <w:rFonts w:ascii="Century Gothic" w:hAnsi="Century Gothic" w:cs="Arial"/>
                <w:b/>
                <w:bCs/>
                <w:sz w:val="20"/>
                <w:szCs w:val="20"/>
                <w:lang w:val="es-ES"/>
              </w:rPr>
            </w:pPr>
            <w:r>
              <w:rPr>
                <w:rFonts w:ascii="Century Gothic" w:hAnsi="Century Gothic" w:cs="Arial"/>
                <w:b/>
                <w:bCs/>
                <w:sz w:val="20"/>
                <w:szCs w:val="20"/>
                <w:lang w:val="es-ES"/>
              </w:rPr>
              <w:t xml:space="preserve">CÓDIGO ORGÁNICO DE ORGANIZACIÓN TERRITORIAL AUTONOMÍA Y DESCENTRALIZACIÓN</w:t>
            </w:r>
          </w:p>
          <w:p w14:paraId="61AFA893" w14:textId="77777777" w:rsidR="00295AF7" w:rsidRPr="009C3A0E" w:rsidRDefault="00295AF7" w:rsidP="00295AF7">
            <w:pPr>
              <w:jc w:val="both"/>
              <w:rPr>
                <w:rFonts w:ascii="Century Gothic" w:hAnsi="Century Gothic" w:cs="Arial"/>
                <w:b/>
                <w:bCs/>
                <w:sz w:val="20"/>
                <w:szCs w:val="20"/>
                <w:lang w:val="es-ES"/>
              </w:rPr>
            </w:pPr>
          </w:p>
          <w:p w14:paraId="63644768" w14:textId="5999408B" w:rsidR="00C14196" w:rsidRPr="009C3A0E" w:rsidRDefault="0008645F" w:rsidP="00295AF7">
            <w:pPr>
              <w:jc w:val="both"/>
              <w:rPr>
                <w:rFonts w:ascii="Century Gothic" w:hAnsi="Century Gothic" w:cs="Arial"/>
                <w:sz w:val="20"/>
                <w:szCs w:val="20"/>
              </w:rPr>
            </w:pPr>
            <w:r>
              <w:rPr>
                <w:rFonts w:ascii="Century Gothic" w:hAnsi="Century Gothic" w:cs="Arial"/>
                <w:b/>
                <w:sz w:val="20"/>
                <w:szCs w:val="20"/>
              </w:rPr>
              <w:t>Art. 278.-</w:t>
            </w:r>
            <w:r>
              <w:rPr>
                <w:rFonts w:ascii="Century Gothic" w:hAnsi="Century Gothic" w:cs="Arial"/>
                <w:i/>
                <w:sz w:val="20"/>
                <w:szCs w:val="20"/>
              </w:rPr>
              <w:t xml:space="preserve">Gestión por contrato. - En la adquisición o arrendamiento de bienes, ejecución de obras y prestación de servicios, incluidos los de consultoría, los gobiernos autónomos descentralizados observarán las disposiciones, principios, herramientas e instrumentos previstos en la Ley que regule la contratación pública.</w:t>
            </w:r>
          </w:p>
          <w:p w14:paraId="414057BD" w14:textId="77777777" w:rsidR="00706895" w:rsidRPr="009C3A0E" w:rsidRDefault="00706895" w:rsidP="00295AF7">
            <w:pPr>
              <w:jc w:val="both"/>
              <w:rPr>
                <w:rFonts w:ascii="Century Gothic" w:hAnsi="Century Gothic" w:cs="Arial"/>
                <w:b/>
                <w:bCs/>
                <w:sz w:val="20"/>
                <w:szCs w:val="20"/>
                <w:lang w:val="es-ES"/>
              </w:rPr>
            </w:pPr>
          </w:p>
          <w:p w14:paraId="5C72D330" w14:textId="77777777" w:rsidR="00706895" w:rsidRPr="009C3A0E" w:rsidRDefault="00706895" w:rsidP="00295AF7">
            <w:pPr>
              <w:jc w:val="both"/>
              <w:rPr>
                <w:rFonts w:ascii="Century Gothic" w:hAnsi="Century Gothic" w:cs="Arial"/>
                <w:b/>
                <w:bCs/>
                <w:sz w:val="20"/>
                <w:szCs w:val="20"/>
                <w:lang w:val="es-ES"/>
              </w:rPr>
            </w:pPr>
            <w:r>
              <w:rPr>
                <w:rFonts w:ascii="Century Gothic" w:hAnsi="Century Gothic" w:cs="Arial"/>
                <w:b/>
                <w:bCs/>
                <w:sz w:val="20"/>
                <w:szCs w:val="20"/>
                <w:lang w:val="es-ES"/>
              </w:rPr>
              <w:t>LEY ORGÁNICA DEL SISTEMA NACIONAL DE CONTRATACIÓN PÚBLICA –LOSNCP</w:t>
            </w:r>
          </w:p>
          <w:p w14:paraId="3C1CB6FF" w14:textId="68C43FD8" w:rsidR="00706895" w:rsidRPr="009C3A0E" w:rsidRDefault="0017126C" w:rsidP="00B942FC">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 xml:space="preserve">Art. 3</w:t>
            </w:r>
            <w:r>
              <w:rPr>
                <w:rFonts w:ascii="Century Gothic" w:hAnsi="Century Gothic" w:cs="Arial"/>
                <w:sz w:val="20"/>
                <w:szCs w:val="20"/>
              </w:rPr>
              <w:t xml:space="preserve">.- </w:t>
            </w:r>
            <w:r>
              <w:rPr>
                <w:rFonts w:ascii="Century Gothic" w:hAnsi="Century Gothic" w:cs="Arial"/>
                <w:i/>
                <w:sz w:val="20"/>
                <w:szCs w:val="20"/>
              </w:rPr>
              <w:t xml:space="preserve">Principios. - Para la aplicación de esta Ley, y priorizando el interés público por encima del privado respetando el marco constitucional y legal, se vigilará la integridad de los procedimientos y contratos 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14:paraId="34A53751" w14:textId="46DC883F" w:rsidR="00706895" w:rsidRPr="009C3A0E" w:rsidRDefault="00641FE4" w:rsidP="006141E6">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 xml:space="preserve">Art. 21</w:t>
            </w:r>
            <w:r>
              <w:rPr>
                <w:rFonts w:ascii="Century Gothic" w:hAnsi="Century Gothic" w:cs="Arial"/>
                <w:sz w:val="20"/>
                <w:szCs w:val="20"/>
              </w:rPr>
              <w:t xml:space="preserve">.- </w:t>
            </w:r>
            <w:r>
              <w:rPr>
                <w:rFonts w:ascii="Century Gothic" w:hAnsi="Century Gothic" w:cs="Arial"/>
                <w:i/>
                <w:sz w:val="20"/>
                <w:szCs w:val="20"/>
              </w:rPr>
              <w:t xml:space="preserve">Portal de Contratación Pública. - s la plataforma informática oficial de contratación pública del Ecuador, será de uso obligatorio para proveedores y entidades contratantes, y será administrado por el SERCOP. El Portal de Contratación Pública contendrá respecto de todas las modalidades de contratación pública, salvo las sometidas a reserva por mandato de la Ley, entre otras, el RUP, catálogos o repertorios de compras, documentación o información de todas las fases de las contrataciones públicas, estadísticas, contratistas incumplidos o adjudicatarios fallidos, otras sanciones establecidas y la información sobre el estado de las contrataciones públicas. Será el único medio empleado para realizar todo procedimiento electrónico de contratación pública, de acuerdo con las disposiciones de la presente Ley y su Reglamento…”.</w:t>
            </w:r>
            <w:r>
              <w:rPr>
                <w:rFonts w:ascii="Century Gothic" w:hAnsi="Century Gothic" w:cs="Arial"/>
                <w:sz w:val="20"/>
                <w:szCs w:val="20"/>
              </w:rPr>
              <w:t xml:space="preserve"> </w:t>
            </w:r>
          </w:p>
          <w:p w14:paraId="414800BB" w14:textId="729FDB63" w:rsidR="00706895" w:rsidRPr="00C72754" w:rsidRDefault="00706895" w:rsidP="00295AF7">
            <w:pPr>
              <w:spacing w:before="240"/>
              <w:jc w:val="both"/>
              <w:rPr>
                <w:rFonts w:ascii="Century Gothic" w:hAnsi="Century Gothic" w:cs="Arial"/>
                <w:sz w:val="20"/>
                <w:szCs w:val="20"/>
              </w:rPr>
            </w:pPr>
            <w:r>
              <w:rPr>
                <w:rFonts w:ascii="Century Gothic" w:hAnsi="Century Gothic" w:cs="Arial"/>
                <w:b/>
                <w:sz w:val="20"/>
                <w:szCs w:val="20"/>
              </w:rPr>
              <w:t>Art.</w:t>
            </w:r>
            <w:r>
              <w:rPr>
                <w:rFonts w:ascii="Century Gothic" w:hAnsi="Century Gothic" w:cs="Arial"/>
                <w:sz w:val="20"/>
                <w:szCs w:val="20"/>
              </w:rPr>
              <w:t xml:space="preserve"> </w:t>
            </w:r>
            <w:r>
              <w:rPr>
                <w:rFonts w:ascii="Century Gothic" w:hAnsi="Century Gothic" w:cs="Arial"/>
                <w:b/>
                <w:sz w:val="20"/>
                <w:szCs w:val="20"/>
              </w:rPr>
              <w:t>46.-</w:t>
            </w:r>
            <w:r>
              <w:rPr>
                <w:rFonts w:ascii="Century Gothic" w:hAnsi="Century Gothic" w:cs="Arial"/>
                <w:sz w:val="20"/>
                <w:szCs w:val="20"/>
              </w:rPr>
              <w:t>Las Entidades Contratantes deberán consultar el catálogo electrónico previamente a establecer procesos de adquisición de bienes y servicios. Solo en caso de que el bien o servicio requerido no se encuentre catalogado se podrá realizar otros procedimientos de selección para la adquisición de bienes o servicios, de conformidad con la presente Ley y su Reglamento.</w:t>
            </w:r>
          </w:p>
          <w:p w14:paraId="369C5D7B" w14:textId="00C93AC1" w:rsidR="00762152" w:rsidRPr="009C3A0E" w:rsidRDefault="00762152" w:rsidP="00762152">
            <w:pPr>
              <w:spacing w:before="240"/>
              <w:jc w:val="both"/>
              <w:rPr>
                <w:rFonts w:ascii="Century Gothic" w:hAnsi="Century Gothic" w:cs="Arial"/>
                <w:i/>
                <w:sz w:val="20"/>
                <w:szCs w:val="20"/>
              </w:rPr>
            </w:pPr>
            <w:r>
              <w:rPr>
                <w:rFonts w:ascii="Century Gothic" w:hAnsi="Century Gothic" w:cs="Arial"/>
                <w:b/>
                <w:i/>
                <w:sz w:val="20"/>
                <w:szCs w:val="20"/>
              </w:rPr>
              <w:t>Art. 50.-</w:t>
            </w:r>
            <w:r>
              <w:rPr>
                <w:rFonts w:ascii="Century Gothic" w:hAnsi="Century Gothic" w:cs="Arial"/>
                <w:i/>
                <w:sz w:val="20"/>
                <w:szCs w:val="20"/>
              </w:rPr>
              <w:t xml:space="preserve"> Contrataciones de ínfima cuantía. - Se podrá contratar bajo esta modalidad las contrataciones para la adquisición de bienes o prestación de servicios, incluidos los de consultorio, o contrataciones de obra cuya cuantía sea igual o inferior a diez mil dólares de los Estados Unidos de América (USD $10.000); siempre que no consten en el Catálogo Electrónico…”. </w:t>
            </w:r>
          </w:p>
          <w:p w14:paraId="0CD41AD6" w14:textId="77777777" w:rsidR="00A50D66" w:rsidRPr="009C3A0E" w:rsidRDefault="00A50D66" w:rsidP="00295AF7">
            <w:pPr>
              <w:spacing w:before="240"/>
              <w:jc w:val="both"/>
              <w:rPr>
                <w:rFonts w:ascii="Century Gothic" w:hAnsi="Century Gothic" w:cs="Arial"/>
                <w:i/>
                <w:sz w:val="20"/>
                <w:szCs w:val="20"/>
              </w:rPr>
            </w:pPr>
          </w:p>
          <w:p w14:paraId="746E5E4E" w14:textId="2E121F5F" w:rsidR="00A50D66" w:rsidRPr="009C3A0E" w:rsidRDefault="00A50D66" w:rsidP="00295AF7">
            <w:pPr>
              <w:jc w:val="both"/>
              <w:rPr>
                <w:rFonts w:ascii="Century Gothic" w:hAnsi="Century Gothic" w:cs="Arial"/>
                <w:b/>
                <w:sz w:val="20"/>
                <w:szCs w:val="20"/>
              </w:rPr>
            </w:pPr>
            <w:r>
              <w:rPr>
                <w:rFonts w:ascii="Century Gothic" w:hAnsi="Century Gothic" w:cs="Arial"/>
                <w:b/>
                <w:sz w:val="20"/>
                <w:szCs w:val="20"/>
              </w:rPr>
              <w:t>LEY ORGÁNICA PARA LA PLANIFICACIÓN Y DESARROLLO INTEGRAL DE LA CIRCUNSCRIPCIÓN TERRITORIAL ESPECIAL AMAZÓNICA</w:t>
            </w:r>
          </w:p>
          <w:p w14:paraId="56D64052" w14:textId="77777777" w:rsidR="00A50D66" w:rsidRPr="009C3A0E" w:rsidRDefault="00A50D66" w:rsidP="00295AF7">
            <w:pPr>
              <w:spacing w:before="240"/>
              <w:jc w:val="both"/>
              <w:rPr>
                <w:rFonts w:ascii="Century Gothic" w:hAnsi="Century Gothic" w:cs="Arial"/>
                <w:i/>
                <w:sz w:val="20"/>
                <w:szCs w:val="20"/>
              </w:rPr>
            </w:pPr>
          </w:p>
          <w:p w14:paraId="51694B83" w14:textId="37187722" w:rsidR="00A50D66" w:rsidRPr="009C3A0E" w:rsidRDefault="00A50D66" w:rsidP="00295AF7">
            <w:pPr>
              <w:jc w:val="both"/>
              <w:rPr>
                <w:rFonts w:ascii="Century Gothic" w:hAnsi="Century Gothic" w:cs="Arial"/>
                <w:sz w:val="20"/>
                <w:szCs w:val="20"/>
              </w:rPr>
            </w:pPr>
            <w:r>
              <w:rPr>
                <w:rFonts w:ascii="Century Gothic" w:hAnsi="Century Gothic" w:cs="Arial"/>
                <w:b/>
                <w:sz w:val="20"/>
                <w:szCs w:val="20"/>
              </w:rPr>
              <w:t xml:space="preserve">Art. 41.3.-</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2F3CFAAB" w14:textId="72B204DC" w:rsidR="00A50D66" w:rsidRPr="009C3A0E" w:rsidRDefault="00106AF0" w:rsidP="00295AF7">
            <w:pPr>
              <w:spacing w:before="240"/>
              <w:jc w:val="both"/>
              <w:rPr>
                <w:rFonts w:ascii="Century Gothic" w:hAnsi="Century Gothic" w:cs="Arial"/>
                <w:sz w:val="20"/>
                <w:szCs w:val="20"/>
              </w:rPr>
            </w:pPr>
            <w:r>
              <w:rPr>
                <w:rFonts w:ascii="Century Gothic" w:hAnsi="Century Gothic" w:cs="Arial"/>
                <w:b/>
                <w:sz w:val="20"/>
                <w:szCs w:val="20"/>
              </w:rPr>
              <w:t>Disposición general Quinta</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0F24A9BD" w14:textId="77777777" w:rsidR="00CB69DC" w:rsidRPr="009C3A0E" w:rsidRDefault="00CB69DC" w:rsidP="00295AF7">
            <w:pPr>
              <w:spacing w:before="240"/>
              <w:jc w:val="both"/>
              <w:rPr>
                <w:rFonts w:ascii="Century Gothic" w:hAnsi="Century Gothic" w:cs="Arial"/>
                <w:sz w:val="20"/>
                <w:szCs w:val="20"/>
              </w:rPr>
            </w:pPr>
          </w:p>
          <w:p w14:paraId="0250EBC4" w14:textId="5AC80702" w:rsidR="00706895" w:rsidRPr="009C3A0E" w:rsidRDefault="00CB69DC" w:rsidP="00295AF7">
            <w:pPr>
              <w:autoSpaceDE w:val="0"/>
              <w:autoSpaceDN w:val="0"/>
              <w:adjustRightInd w:val="0"/>
              <w:jc w:val="both"/>
              <w:rPr>
                <w:rFonts w:ascii="Century Gothic" w:hAnsi="Century Gothic" w:cs="Arial"/>
                <w:b/>
                <w:sz w:val="20"/>
                <w:szCs w:val="20"/>
              </w:rPr>
            </w:pPr>
            <w:r>
              <w:rPr>
                <w:rFonts w:ascii="Century Gothic" w:hAnsi="Century Gothic" w:cs="Arial"/>
                <w:b/>
                <w:sz w:val="20"/>
                <w:szCs w:val="20"/>
              </w:rPr>
              <w:t>REGLAMENTO A LA LEY ORGÁNICA PARA LA PLANIFICACIÓN Y DESARROLLO INTEGRAL DE LA CIRCUNSCRIPCIÓN TERRITORIAL ESPECIAL AMAZÓNICA</w:t>
            </w:r>
          </w:p>
          <w:p w14:paraId="46C1CA11" w14:textId="1371CF10" w:rsidR="00CB69DC" w:rsidRPr="009C3A0E" w:rsidRDefault="00CB69DC" w:rsidP="00295AF7">
            <w:pPr>
              <w:autoSpaceDE w:val="0"/>
              <w:autoSpaceDN w:val="0"/>
              <w:adjustRightInd w:val="0"/>
              <w:jc w:val="both"/>
              <w:rPr>
                <w:rFonts w:ascii="Century Gothic" w:hAnsi="Century Gothic" w:cs="Arial"/>
                <w:b/>
                <w:sz w:val="20"/>
                <w:szCs w:val="20"/>
              </w:rPr>
            </w:pPr>
          </w:p>
          <w:p w14:paraId="2DA5C769" w14:textId="57E88BA1" w:rsidR="006E6C95" w:rsidRPr="009C3A0E" w:rsidRDefault="006E6C95" w:rsidP="00295AF7">
            <w:pPr>
              <w:jc w:val="both"/>
              <w:rPr>
                <w:rFonts w:ascii="Century Gothic" w:hAnsi="Century Gothic" w:cs="Arial"/>
                <w:sz w:val="20"/>
                <w:szCs w:val="20"/>
              </w:rPr>
            </w:pPr>
            <w:r>
              <w:rPr>
                <w:rFonts w:ascii="Century Gothic" w:hAnsi="Century Gothic" w:cs="Arial"/>
                <w:b/>
                <w:sz w:val="20"/>
                <w:szCs w:val="20"/>
              </w:rPr>
              <w:t>Art. 3.-</w:t>
            </w:r>
            <w:r>
              <w:rPr>
                <w:rFonts w:ascii="Century Gothic" w:hAnsi="Century Gothic" w:cs="Arial"/>
                <w:sz w:val="20"/>
                <w:szCs w:val="20"/>
              </w:rPr>
              <w:t xml:space="preserve"> Territorio de la Circunscripción Territorial Especial Amazónica: La Circunscripción Territorial Especial Amazónica comprende el área terrestre de las provincias amazónicas de Morona Santiago, Napo, Orellana, Pastaza, Sucumbíos y Zamora Chinchipe, que incluye áreas pobladas y no pobladas que corresponden geográficamente a la meseta amazónica y a las estribaciones a la Cordillera Oriental de los Andes, los recursos hídricos, fluviales, mineros, el subsuelo del área terrestre, el espacio aéreo y la órbita geoestacionaria. </w:t>
            </w:r>
          </w:p>
          <w:p w14:paraId="102146F9" w14:textId="77777777" w:rsidR="00CB69DC" w:rsidRPr="009C3A0E" w:rsidRDefault="00CB69DC" w:rsidP="00295AF7">
            <w:pPr>
              <w:autoSpaceDE w:val="0"/>
              <w:autoSpaceDN w:val="0"/>
              <w:adjustRightInd w:val="0"/>
              <w:jc w:val="both"/>
              <w:rPr>
                <w:rFonts w:ascii="Century Gothic" w:hAnsi="Century Gothic" w:cs="Arial"/>
                <w:b/>
                <w:sz w:val="20"/>
                <w:szCs w:val="20"/>
              </w:rPr>
            </w:pPr>
          </w:p>
          <w:p w14:paraId="15C1C9CE" w14:textId="77777777" w:rsidR="00CB69DC" w:rsidRPr="009C3A0E" w:rsidRDefault="00CB69DC" w:rsidP="00295AF7">
            <w:pPr>
              <w:autoSpaceDE w:val="0"/>
              <w:autoSpaceDN w:val="0"/>
              <w:adjustRightInd w:val="0"/>
              <w:jc w:val="both"/>
              <w:rPr>
                <w:rFonts w:ascii="Century Gothic" w:hAnsi="Century Gothic" w:cs="Arial"/>
                <w:b/>
                <w:bCs/>
                <w:sz w:val="20"/>
                <w:szCs w:val="20"/>
              </w:rPr>
            </w:pPr>
          </w:p>
          <w:p w14:paraId="75716BE8" w14:textId="77777777" w:rsidR="00706895" w:rsidRPr="009C3A0E" w:rsidRDefault="00706895" w:rsidP="00295AF7">
            <w:pPr>
              <w:jc w:val="both"/>
              <w:rPr>
                <w:rFonts w:ascii="Century Gothic" w:hAnsi="Century Gothic" w:cs="Arial"/>
                <w:b/>
                <w:bCs/>
                <w:sz w:val="20"/>
                <w:szCs w:val="20"/>
                <w:lang w:val="es-ES"/>
              </w:rPr>
            </w:pPr>
            <w:r>
              <w:rPr>
                <w:rFonts w:ascii="Century Gothic" w:hAnsi="Century Gothic" w:cs="Arial"/>
                <w:b/>
                <w:bCs/>
                <w:sz w:val="20"/>
                <w:szCs w:val="20"/>
                <w:lang w:val="es-ES"/>
              </w:rPr>
              <w:t>REGLAMENTO A LA LEY ORGÁNICA DEL SISTEMA NACIONAL DE CONTRATACIÓN PÚBLICA –LOSNCP</w:t>
            </w:r>
          </w:p>
          <w:p w14:paraId="43E6F9B4" w14:textId="77777777" w:rsidR="001B10E2" w:rsidRPr="009C3A0E" w:rsidRDefault="001B10E2" w:rsidP="00295AF7">
            <w:pPr>
              <w:autoSpaceDE w:val="0"/>
              <w:autoSpaceDN w:val="0"/>
              <w:adjustRightInd w:val="0"/>
              <w:jc w:val="both"/>
              <w:rPr>
                <w:rFonts w:ascii="Century Gothic" w:hAnsi="Century Gothic" w:cs="Arial"/>
                <w:bCs/>
                <w:sz w:val="20"/>
                <w:szCs w:val="20"/>
              </w:rPr>
            </w:pPr>
          </w:p>
          <w:p w14:paraId="44FF015B" w14:textId="06AD2F17" w:rsidR="00B137A1" w:rsidRPr="00B137A1" w:rsidRDefault="001B10E2" w:rsidP="00B137A1">
            <w:pPr>
              <w:autoSpaceDE w:val="0"/>
              <w:autoSpaceDN w:val="0"/>
              <w:adjustRightInd w:val="0"/>
              <w:jc w:val="both"/>
              <w:rPr>
                <w:rFonts w:ascii="Century Gothic" w:hAnsi="Century Gothic" w:cs="Arial"/>
                <w:bCs/>
                <w:i/>
                <w:sz w:val="20"/>
                <w:szCs w:val="20"/>
              </w:rPr>
            </w:pPr>
            <w:r>
              <w:rPr>
                <w:rFonts w:ascii="Century Gothic" w:hAnsi="Century Gothic" w:cs="Arial"/>
                <w:b/>
                <w:bCs/>
                <w:sz w:val="20"/>
                <w:szCs w:val="20"/>
              </w:rPr>
              <w:t xml:space="preserve">Art. 22.-</w:t>
            </w:r>
            <w:r>
              <w:rPr>
                <w:rFonts w:ascii="Century Gothic" w:hAnsi="Century Gothic" w:cs="Arial"/>
                <w:bCs/>
                <w:sz w:val="20"/>
                <w:szCs w:val="20"/>
              </w:rPr>
              <w:t xml:space="preserve"> </w:t>
            </w:r>
            <w:r>
              <w:rPr>
                <w:rFonts w:ascii="Century Gothic" w:hAnsi="Century Gothic" w:cs="Arial"/>
                <w:bCs/>
                <w:i/>
                <w:sz w:val="20"/>
                <w:szCs w:val="20"/>
              </w:rPr>
              <w:t>Información relevante. - Para efectos de publicidad y política de gobierno</w:t>
            </w:r>
          </w:p>
          <w:p w14:paraId="12D76AF6" w14:textId="15A1B78E"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abierto de los procedimientos de contratación en el Portal de Contratación Pública, se entenderá como información relevante la siguiente:</w:t>
            </w:r>
          </w:p>
          <w:p w14:paraId="6D2F122B"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 Informe de necesidad de la contratación;</w:t>
            </w:r>
          </w:p>
          <w:p w14:paraId="37621787" w14:textId="6A137D1D"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 Proformas y cotizaciones recibidas en la fase preparatoria para la elaboración del instrumento de determinación del presupuesto referencial;</w:t>
            </w:r>
          </w:p>
          <w:p w14:paraId="492D67DD"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 Instrumento de determinación del presupuesto referencial;</w:t>
            </w:r>
          </w:p>
          <w:p w14:paraId="6DF6709C"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4. Estudios de desagregación tecnológica, en caso de ser requerido;</w:t>
            </w:r>
          </w:p>
          <w:p w14:paraId="224AFD05"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5. Estudios, diseños o proyectos;</w:t>
            </w:r>
          </w:p>
          <w:p w14:paraId="31D97578"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6. Términos de referencia y/o especificaciones técnicas;</w:t>
            </w:r>
          </w:p>
          <w:p w14:paraId="7E7C4F76"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7. Certificación PAC;</w:t>
            </w:r>
          </w:p>
          <w:p w14:paraId="02015E07"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8. Certificación presupuestaria;</w:t>
            </w:r>
          </w:p>
          <w:p w14:paraId="6DFB9BFD" w14:textId="63AC08A9"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9. En los procedimientos de arrendamiento de bienes inmuebles, la respectiva autorización emitida por el ente regulador de gestión inmobiliaria del sector público para el inicio del procedimiento de arrendamiento, en los casos que corresponda; y, prórroga y/o renovación de los contratos, de ser procedente.</w:t>
            </w:r>
          </w:p>
          <w:p w14:paraId="689C3D3B"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10. Invitación a proveedores, de ser el caso;</w:t>
            </w:r>
          </w:p>
          <w:p w14:paraId="0C07CA43" w14:textId="4CE5F83E" w:rsid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11. Pliegos;</w:t>
            </w:r>
          </w:p>
          <w:p w14:paraId="51A554BE"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12. Resolución de inicio, aprobación de pliegos y de cronograma (convocatoria);</w:t>
            </w:r>
          </w:p>
          <w:p w14:paraId="4EB0E88C"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13. Preguntas, respuestas y aclaraciones de los procedimientos de contratación;</w:t>
            </w:r>
          </w:p>
          <w:p w14:paraId="73D60F6F"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14. Actas (preguntas, respuestas y aclaraciones, apertura de las ofertas; convalidación de errores;</w:t>
            </w:r>
          </w:p>
          <w:p w14:paraId="05FF05D9" w14:textId="6276641C"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calificación, y acta de negoción, en los casos que corresponda), y demás documentación precontractual;</w:t>
            </w:r>
          </w:p>
          <w:p w14:paraId="2F307260" w14:textId="2F073255"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15. Informe de evaluación de las ofertas realizado por la Comisión Técnica o el servidor designado para el efecto, en el que se recomiende a la máxima autoridad o su delegado de forma expresa, la adjudicación o la declaratoria de desierto, según sea el caso;</w:t>
            </w:r>
          </w:p>
          <w:p w14:paraId="5B0C4FF9" w14:textId="494B2FE5"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16. Oficios y comunicaciones remitidos por el SERCOP respecto a las acciones de supervisión y control realizados a procedimientos de contratación;</w:t>
            </w:r>
          </w:p>
          <w:p w14:paraId="0264F9EC"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17. Resolución de adjudicación o declaratoria de desierto o cancelación;</w:t>
            </w:r>
          </w:p>
          <w:p w14:paraId="76D48CE0"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18. Oferta del oferente ganador, la cual será publicada conjuntamente con la calificación de</w:t>
            </w:r>
          </w:p>
          <w:p w14:paraId="108CB28C" w14:textId="1CD72D5A"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ofertas, o con la adjudicación en el caso de subasta inversa electrónica, u otros procedimientos que defina el SERCOP;</w:t>
            </w:r>
          </w:p>
          <w:p w14:paraId="23F1770F" w14:textId="6EF87F94"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19. De ser el caso, la resolución de declaratoria de adjudicatario fallido, y la respectiva notificación;</w:t>
            </w:r>
          </w:p>
          <w:p w14:paraId="01714DED"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20. Reclamos o recursos presentados;</w:t>
            </w:r>
          </w:p>
          <w:p w14:paraId="72C7230C"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21. La resolución o pronunciamiento final de los reclamos o recursos presentados;</w:t>
            </w:r>
          </w:p>
          <w:p w14:paraId="5F1D999A" w14:textId="06DF5358"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22. Contrato y su protocolización, de ser el caso, y los documentos que acrediten la calidad de los comparecientes;</w:t>
            </w:r>
          </w:p>
          <w:p w14:paraId="0D9A95E5"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23. Garantías;</w:t>
            </w:r>
          </w:p>
          <w:p w14:paraId="7E7529B6"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24. Contratos complementarios, modificatorios, o adendas modificatorias, de haberse suscrito;</w:t>
            </w:r>
          </w:p>
          <w:p w14:paraId="510DB53B" w14:textId="3ED12721"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25. Documento de aprobación de la entidad contratante para la subcontratación, en los casos que corresponda;</w:t>
            </w:r>
          </w:p>
          <w:p w14:paraId="15EE7AF8"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lastRenderedPageBreak/>
              <w:t>26. Actas y documentos relacionados con la suspensión y prórrogas del contrato;</w:t>
            </w:r>
          </w:p>
          <w:p w14:paraId="308BEF27" w14:textId="3B24B368"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27. Comunicaciones al contratista respecto de la aplicación de multas u otras sanciones; y, acto administrativo de multa o sanción;</w:t>
            </w:r>
          </w:p>
          <w:p w14:paraId="03627E91"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28. Cronogramas de ejecución de actividades contractuales y de pagos;</w:t>
            </w:r>
          </w:p>
          <w:p w14:paraId="749E3A84"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29. Comprobante de pagos realizados;</w:t>
            </w:r>
          </w:p>
          <w:p w14:paraId="7C067346" w14:textId="67B14CBD"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30. Informe previo a la recepción provisional y final, de ser el caso, actas de entrega recepción, o actos administrativos relacionados con la terminación del contrato;</w:t>
            </w:r>
          </w:p>
          <w:p w14:paraId="5E895FBD" w14:textId="1E7F680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31. En caso de terminar unilateralmente el contrato, se deberá publicar la siguiente documentación:</w:t>
            </w:r>
          </w:p>
          <w:p w14:paraId="572AB21F"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a) Informes técnico, económico y jurídico;</w:t>
            </w:r>
          </w:p>
          <w:p w14:paraId="1C002EA6"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b) Notificación de la decisión de terminación unilateral;</w:t>
            </w:r>
          </w:p>
          <w:p w14:paraId="4E0A528C"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 Resolución de terminación unilateral del contrato; y,</w:t>
            </w:r>
          </w:p>
          <w:p w14:paraId="7D0DA032"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 Notificación de la resolución de terminación unilateral del contrato realizada al menos</w:t>
            </w:r>
          </w:p>
          <w:p w14:paraId="0EC7881E"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por uno de los medios aceptados por la normativa vigente;</w:t>
            </w:r>
          </w:p>
          <w:p w14:paraId="22C32F42"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32. En caso de terminar el contrato por mutuo acuerdo, se publicará el acuerdo de terminación</w:t>
            </w:r>
          </w:p>
          <w:p w14:paraId="34F8A98E"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de mutuo acuerdo del contrato, así como los informes técnicos y económicos</w:t>
            </w:r>
          </w:p>
          <w:p w14:paraId="428D775D" w14:textId="77777777"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correspondientes;</w:t>
            </w:r>
          </w:p>
          <w:p w14:paraId="6A3B6D6E" w14:textId="176D8AAD"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33. Certificado de cumplimiento otorgado por la UAFE, y presentado por el contratista en la fase contractual, cuando sea el caso;</w:t>
            </w:r>
          </w:p>
          <w:p w14:paraId="383BF1AD" w14:textId="5C38B295" w:rsidR="00B137A1" w:rsidRP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34. En los procedimientos de contratación para la ejecución de obras se publicará, además: orden de inicio de trabajos; órdenes de cambio y diferencias en cantidades de obras, diferencias de rubros existentes o creación de rubros nuevos; certificación de disponibilidad presupuestaria, de ser el caso; y, decisiones adoptadas por la Junta de Resolución de Disputas cuando sea procedente; y,</w:t>
            </w:r>
          </w:p>
          <w:p w14:paraId="6EB34380" w14:textId="0627F305" w:rsid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35. Cualquier documento adicional que la entidad contratante considere pertinente.</w:t>
            </w:r>
          </w:p>
          <w:p w14:paraId="45A2C814" w14:textId="77777777" w:rsidR="00B76128" w:rsidRPr="00B137A1" w:rsidRDefault="00B76128" w:rsidP="00B137A1">
            <w:pPr>
              <w:autoSpaceDE w:val="0"/>
              <w:autoSpaceDN w:val="0"/>
              <w:adjustRightInd w:val="0"/>
              <w:jc w:val="both"/>
              <w:rPr>
                <w:rFonts w:ascii="Century Gothic" w:hAnsi="Century Gothic" w:cs="Arial"/>
                <w:bCs/>
                <w:i/>
                <w:sz w:val="20"/>
                <w:szCs w:val="20"/>
              </w:rPr>
            </w:pPr>
          </w:p>
          <w:p w14:paraId="7A50D9D3" w14:textId="42901C60" w:rsid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 información relativa a los proveedores invitados será generada por el propio sistema y se mantendrá disponible de manera pública en el Portal de Contratación Pública.</w:t>
            </w:r>
          </w:p>
          <w:p w14:paraId="2D9D5ED3" w14:textId="77777777" w:rsidR="00B76128" w:rsidRPr="00B137A1" w:rsidRDefault="00B76128" w:rsidP="00B137A1">
            <w:pPr>
              <w:autoSpaceDE w:val="0"/>
              <w:autoSpaceDN w:val="0"/>
              <w:adjustRightInd w:val="0"/>
              <w:jc w:val="both"/>
              <w:rPr>
                <w:rFonts w:ascii="Century Gothic" w:hAnsi="Century Gothic" w:cs="Arial"/>
                <w:bCs/>
                <w:i/>
                <w:sz w:val="20"/>
                <w:szCs w:val="20"/>
              </w:rPr>
            </w:pPr>
          </w:p>
          <w:p w14:paraId="3A416D69" w14:textId="6F1F6A12" w:rsid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Cualquier actuación administrativa que se efectúe por delegación, deberá contener la mención expresa del instrumento que otorgó la delegación y por el cual se actúa.</w:t>
            </w:r>
          </w:p>
          <w:p w14:paraId="33F545FE" w14:textId="77777777" w:rsidR="00B76128" w:rsidRPr="00B137A1" w:rsidRDefault="00B76128" w:rsidP="00B137A1">
            <w:pPr>
              <w:autoSpaceDE w:val="0"/>
              <w:autoSpaceDN w:val="0"/>
              <w:adjustRightInd w:val="0"/>
              <w:jc w:val="both"/>
              <w:rPr>
                <w:rFonts w:ascii="Century Gothic" w:hAnsi="Century Gothic" w:cs="Arial"/>
                <w:bCs/>
                <w:i/>
                <w:sz w:val="20"/>
                <w:szCs w:val="20"/>
              </w:rPr>
            </w:pPr>
          </w:p>
          <w:p w14:paraId="0F177BE8" w14:textId="47135E5D" w:rsid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Toda la información relacionada con la fase contractual deberá publicarse, preferentemente, en el momento que se genere y suscriba la documentación relevante.</w:t>
            </w:r>
          </w:p>
          <w:p w14:paraId="62696064" w14:textId="77777777" w:rsidR="00B76128" w:rsidRPr="00B137A1" w:rsidRDefault="00B76128" w:rsidP="00B137A1">
            <w:pPr>
              <w:autoSpaceDE w:val="0"/>
              <w:autoSpaceDN w:val="0"/>
              <w:adjustRightInd w:val="0"/>
              <w:jc w:val="both"/>
              <w:rPr>
                <w:rFonts w:ascii="Century Gothic" w:hAnsi="Century Gothic" w:cs="Arial"/>
                <w:bCs/>
                <w:i/>
                <w:sz w:val="20"/>
                <w:szCs w:val="20"/>
              </w:rPr>
            </w:pPr>
          </w:p>
          <w:p w14:paraId="7A707C3C" w14:textId="2898D296" w:rsid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El Servicio Nacional de Contratación Pública podrá calificar otros documentos como información relevante que deberá ser publicada en el Portal.</w:t>
            </w:r>
          </w:p>
          <w:p w14:paraId="49A6DDBA" w14:textId="77777777" w:rsidR="00B76128" w:rsidRPr="00B137A1" w:rsidRDefault="00B76128" w:rsidP="00B137A1">
            <w:pPr>
              <w:autoSpaceDE w:val="0"/>
              <w:autoSpaceDN w:val="0"/>
              <w:adjustRightInd w:val="0"/>
              <w:jc w:val="both"/>
              <w:rPr>
                <w:rFonts w:ascii="Century Gothic" w:hAnsi="Century Gothic" w:cs="Arial"/>
                <w:bCs/>
                <w:i/>
                <w:sz w:val="20"/>
                <w:szCs w:val="20"/>
              </w:rPr>
            </w:pPr>
          </w:p>
          <w:p w14:paraId="63F81DA5" w14:textId="002798DF" w:rsidR="00B137A1"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Las actuaciones registradas en el Portal de Contratación Pública tendrán plena validez jurídica y valor probatorio.</w:t>
            </w:r>
          </w:p>
          <w:p w14:paraId="0A204F73" w14:textId="77777777" w:rsidR="00B76128" w:rsidRPr="00B137A1" w:rsidRDefault="00B76128" w:rsidP="00B137A1">
            <w:pPr>
              <w:autoSpaceDE w:val="0"/>
              <w:autoSpaceDN w:val="0"/>
              <w:adjustRightInd w:val="0"/>
              <w:jc w:val="both"/>
              <w:rPr>
                <w:rFonts w:ascii="Century Gothic" w:hAnsi="Century Gothic" w:cs="Arial"/>
                <w:bCs/>
                <w:i/>
                <w:sz w:val="20"/>
                <w:szCs w:val="20"/>
              </w:rPr>
            </w:pPr>
          </w:p>
          <w:p w14:paraId="5A47434B" w14:textId="58104B8F" w:rsidR="00734B99" w:rsidRDefault="00B137A1" w:rsidP="00B137A1">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Es obligación de la entidad contratante el cumplimiento del cronograma establecido en el Portal de Contratación Pública, durante la fase precontractual, así como la publicación de la información de las otras fases de la contratación conforme lo previsto en el presente Reglamento.</w:t>
            </w:r>
          </w:p>
          <w:p w14:paraId="44D9F694" w14:textId="77777777" w:rsidR="004B1598" w:rsidRPr="009C3A0E" w:rsidRDefault="004B1598" w:rsidP="004B1598">
            <w:pPr>
              <w:autoSpaceDE w:val="0"/>
              <w:autoSpaceDN w:val="0"/>
              <w:adjustRightInd w:val="0"/>
              <w:jc w:val="both"/>
              <w:rPr>
                <w:rFonts w:ascii="Century Gothic" w:hAnsi="Century Gothic" w:cs="Arial"/>
                <w:bCs/>
                <w:sz w:val="20"/>
                <w:szCs w:val="20"/>
              </w:rPr>
            </w:pPr>
          </w:p>
          <w:p w14:paraId="7ED045D0" w14:textId="5A0D9BD4" w:rsidR="008D4856" w:rsidRPr="00596946" w:rsidRDefault="00706895" w:rsidP="008D48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Arial"/>
                <w:b/>
                <w:bCs/>
                <w:sz w:val="20"/>
                <w:szCs w:val="20"/>
              </w:rPr>
              <w:t xml:space="preserve">Art. 76.-</w:t>
            </w:r>
            <w:r>
              <w:rPr>
                <w:rFonts w:ascii="Century Gothic" w:hAnsi="Century Gothic" w:cs="Arial"/>
                <w:bCs/>
                <w:sz w:val="20"/>
                <w:szCs w:val="20"/>
              </w:rPr>
              <w:t xml:space="preserve"> </w:t>
            </w:r>
            <w:r>
              <w:rPr>
                <w:rFonts w:ascii="Century Gothic" w:hAnsi="Century Gothic" w:cs="Calibri"/>
                <w:color w:val="000000"/>
                <w:sz w:val="20"/>
                <w:szCs w:val="20"/>
                <w:lang w:eastAsia="es-EC"/>
              </w:rPr>
              <w:t>Formulación de las especificaciones técnicas y términos de referencia. – Antes de iniciar un procedimiento de contratación pública, la entidad contratante deberá contar con las especificaciones técnicas de los bienes o rubros requeridos; o, los términos de referencia para servicios, incluidos los de consultoría, de conformidad con lo que establezcan los análisis, diseños, diagnósticos, o estudios con los que, como condición previa, debe contar la entidad contratante.</w:t>
            </w:r>
          </w:p>
          <w:p w14:paraId="58C7749E" w14:textId="77777777" w:rsidR="008D4856" w:rsidRPr="00596946" w:rsidRDefault="008D4856" w:rsidP="008D4856">
            <w:pPr>
              <w:autoSpaceDE w:val="0"/>
              <w:autoSpaceDN w:val="0"/>
              <w:adjustRightInd w:val="0"/>
              <w:jc w:val="both"/>
              <w:rPr>
                <w:rFonts w:ascii="Century Gothic" w:hAnsi="Century Gothic" w:cs="Calibri"/>
                <w:color w:val="000000"/>
                <w:sz w:val="20"/>
                <w:szCs w:val="20"/>
                <w:lang w:eastAsia="es-EC"/>
              </w:rPr>
            </w:pPr>
          </w:p>
          <w:p w14:paraId="1B459BD9" w14:textId="571FE769" w:rsidR="00706895" w:rsidRPr="00596946" w:rsidRDefault="008D4856" w:rsidP="008D48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Se entenderá como especificación técnica, a las características fundamentales que deberán cumplir los bienes o rubros requeridos, mientras que los términos de referencia constituirán las condiciones específicas bajo las cuales se desarrollará la consultoría o se prestarán los servicios. La contratación de servicios incluido consultoría estará sujeta a la formulación de términos de referencia. No obstante, atendiendo a la naturaleza del servicio requerido, se podrán incorporar adicionalmente especificaciones técnicas relativas a los bienes necesarios para su ejecución, siempre y cuando no se modifique el objeto </w:t>
              <w:lastRenderedPageBreak/>
              <w:t xml:space="preserve">de contratación, por tanto, esta variación solo podrá repotenciar o mejorar el objeto de contratación previamente delimitado. </w:t>
            </w:r>
          </w:p>
          <w:p w14:paraId="3FF5AFBC" w14:textId="264727C9"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
                <w:bCs/>
                <w:sz w:val="20"/>
                <w:szCs w:val="20"/>
              </w:rPr>
              <w:t>Art. 77.-</w:t>
            </w:r>
            <w:r>
              <w:rPr>
                <w:rFonts w:ascii="Century Gothic" w:hAnsi="Century Gothic" w:cs="Arial"/>
                <w:bCs/>
                <w:sz w:val="20"/>
                <w:szCs w:val="20"/>
              </w:rPr>
              <w:t xml:space="preserve"> Especificaciones técnicas. - Para la elaboración de las especificaciones técnicas se considerará lo siguiente:</w:t>
            </w:r>
          </w:p>
          <w:p w14:paraId="0D4EEACD" w14:textId="313BBC35"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Deben ser claras, completas e inequívocas; no deben presentar ambigüedades, ni contradicciones que puedan propiciar diferentes interpretaciones en una misma disposición, ni indicaciones parciales.</w:t>
            </w:r>
          </w:p>
          <w:p w14:paraId="21754CBE" w14:textId="36EB1CD7"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1. Para el caso de bienes, se establecerán en función de las propiedades de su uso y empleo, así como de sus características fundamentales, requisitos funcionales o tecnológicos, atendiendo los conceptos de capacidad, calidad y/o rendimiento, y de sostenibilidad en lo que fuera aplicable, para los que, de existir, se utilizarán rasgos técnicos, requisitos, símbolos y términos estandarizados;</w:t>
            </w:r>
          </w:p>
          <w:p w14:paraId="0E5D3B15" w14:textId="3078F1F6"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2. No se podrá hacer referencia a marcas de fábrica o de comercio, nombres o tipos comerciales, patentes, derechos de autor, diseños o tipos particulares, ni a determinados orígenes, productores o proveedores. Excepcionalmente, y de manera justificada, se podrá hacer dichas referencias para: la adquisición de repuestos o accesorios; y, en las contrataciones que impliquen el desarrollo o mejora de tecnologías ya existentes en la entidad contratante, como la utilización de patentes o marcas exclusivas o tecnologías que no admitan otras alternativas técnicas, en los casos que sea aplicable, la entidad hará constar en el pliego la expresión "o equivalente" u otra similar;</w:t>
            </w:r>
          </w:p>
          <w:p w14:paraId="5A643D26" w14:textId="22244CBF"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 xml:space="preserve">En este caso, la entidad contratante deberá publicar la información respecto a la tecnológica existente y/o maquinaria, la cual deberá plasmarse en un informe técnico debidamente suscrito, el cual será publicado como información relevante.</w:t>
            </w:r>
          </w:p>
          <w:p w14:paraId="6A3CD73E" w14:textId="06443E41"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 xml:space="preserve">3. Para el caso de obras, se establecerán para cada uno de los rubros y materiales del proyecto, atendiendo los aspectos de diseño y constructivos. Exceptúese de esta disposición, los contratos de obra bajo la modalidad ingeniería, procura y construcción donde las especificaciones técnicas se basarán solamente en las normas o reglamentos técnicos nacionales, y en ausencia de estos, en los instrumentos internacionales similares, en lo que fuera aplicable.</w:t>
            </w:r>
          </w:p>
          <w:p w14:paraId="7E9AE3CA" w14:textId="54A8D26D"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 xml:space="preserve">4. Las especificaciones técnicas se basarán en las normas o reglamentos técnicos nacionales, y en ausencia de estos, en los instrumentos internacionales similares, en lo que fuera aplicable;</w:t>
            </w:r>
          </w:p>
          <w:p w14:paraId="3487F8FE" w14:textId="386441A3"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 xml:space="preserve">5. No se podrá establecer o exigir especificaciones, condicionamientos o requerimientos técnicos que no pueda cumplir la oferta nacional, salvo justificación funcional debidamente motivada; y,</w:t>
            </w:r>
          </w:p>
          <w:p w14:paraId="340365C3" w14:textId="4867CF50"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 xml:space="preserve">6. Las especificaciones técnicas se establecerán con relación exclusiva a los bienes o rubros de obras integrantes del objeto del procedimiento y no con relación a los proveedores.</w:t>
            </w:r>
          </w:p>
          <w:p w14:paraId="672F2BBB" w14:textId="0FD245AA"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 xml:space="preserve">7. Las especificaciones técnicas deberán contener como mínimo en el caso de que corresponda los siguiente:</w:t>
            </w:r>
          </w:p>
          <w:p w14:paraId="41A24895" w14:textId="77777777" w:rsidR="008F2FF2"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a) Alcance;</w:t>
            </w:r>
          </w:p>
          <w:p w14:paraId="7A1E1E70" w14:textId="47A28A59"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b) Plazo de ejecución: parciales y/o total;</w:t>
            </w:r>
          </w:p>
          <w:p w14:paraId="7082976F" w14:textId="77777777"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c) Personal técnico/equipo de trabajo/recursos según corresponda, y de ser pertinente;</w:t>
            </w:r>
          </w:p>
          <w:p w14:paraId="5CF87B21" w14:textId="77777777"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d) Forma y condiciones de pago;</w:t>
            </w:r>
          </w:p>
          <w:p w14:paraId="439879EE" w14:textId="77777777"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e) Lugar de entrega;</w:t>
            </w:r>
          </w:p>
          <w:p w14:paraId="4B8A6A3D" w14:textId="77777777"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f) Multas;</w:t>
            </w:r>
          </w:p>
          <w:p w14:paraId="181A8AA4" w14:textId="77777777"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lastRenderedPageBreak/>
              <w:t>g) Obligaciones de las partes;</w:t>
            </w:r>
          </w:p>
          <w:p w14:paraId="4D457F4F" w14:textId="77777777"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h) Garantías técnicas, en el caso que aplique; y,</w:t>
            </w:r>
          </w:p>
          <w:p w14:paraId="1F6AA64C" w14:textId="2F856C51" w:rsidR="00D9741F" w:rsidRPr="006C4F8B" w:rsidRDefault="00D9741F" w:rsidP="00D9741F">
            <w:pPr>
              <w:spacing w:before="240"/>
              <w:jc w:val="both"/>
              <w:rPr>
                <w:rFonts w:ascii="Century Gothic" w:hAnsi="Century Gothic" w:cs="Arial"/>
                <w:bCs/>
                <w:sz w:val="20"/>
                <w:szCs w:val="20"/>
              </w:rPr>
            </w:pPr>
            <w:r>
              <w:rPr>
                <w:rFonts w:ascii="Century Gothic" w:hAnsi="Century Gothic" w:cs="Arial"/>
                <w:bCs/>
                <w:sz w:val="20"/>
                <w:szCs w:val="20"/>
              </w:rPr>
              <w:t>i) Parámetros evaluación y calificación según corresponda”.</w:t>
            </w:r>
          </w:p>
          <w:p w14:paraId="1AA61645" w14:textId="058FB059"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
                <w:bCs/>
                <w:sz w:val="20"/>
                <w:szCs w:val="20"/>
              </w:rPr>
              <w:t>Art. 269.-</w:t>
            </w:r>
            <w:r>
              <w:rPr>
                <w:rFonts w:ascii="Century Gothic" w:hAnsi="Century Gothic" w:cs="Arial"/>
                <w:bCs/>
                <w:sz w:val="20"/>
                <w:szCs w:val="20"/>
              </w:rPr>
              <w:t xml:space="preserve"> Procedimiento de ínfima cuantía.- El procedimiento de ínfima cuantía será el siguiente:</w:t>
            </w:r>
          </w:p>
          <w:p w14:paraId="70B113A1" w14:textId="77777777"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1. La unidad requirente de la entidad contratante justificará el requerimiento y levantará las</w:t>
            </w:r>
          </w:p>
          <w:p w14:paraId="544AFB07" w14:textId="77777777"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especificaciones técnicas o términos de referencia a contratarse;</w:t>
            </w:r>
          </w:p>
          <w:p w14:paraId="5B8D18FA" w14:textId="77777777"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2. Serán autorizadas por la máxima autoridad o su delegado;</w:t>
            </w:r>
          </w:p>
          <w:p w14:paraId="6D85936A" w14:textId="38CEC117"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 xml:space="preserve">3. No será necesaria la elaboración del pliego, tampoco será necesario la publicación en el PAC. El estudio de mercado se considerará efectuado al realizar lo previsto en el numeral 6 de este artículo, y será en ese momento del procedimiento en donde se requiera la certificación presupuestaria;</w:t>
            </w:r>
          </w:p>
          <w:p w14:paraId="469AD58E" w14:textId="403522C6"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 xml:space="preserve">4. La entidad contratante procederá a publicar, de forma obligatoria, en la herramienta informática habilitada por el Servicio Nacional de Contratación Pública, un aviso público, entendiéndose este como la publicación en la herramienta, con lo que requiere contratar por ínfima cuantía, así como la información de contacto y término para la presentación de proformas. Incluirá además el proyecto de orden de compra a ser emitido, con base en el modelo obligatorio desarrollado por el Servicio Nacional de Contratación Pública. La entidad fijará el tiempo mínimo que deberá tener vigencia la proforma;</w:t>
            </w:r>
          </w:p>
          <w:p w14:paraId="42C43274" w14:textId="145AE40E"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 xml:space="preserve">5. El proveedor interesado remitirá su proforma a través de la herramienta dispuesta por el SERCOP a la entidad contratante dentro del término establecido. La proforma tendrá los efectos de la oferta. La entidad contratante sentará una razón de las proformas recibidas. La proforma tendrá los efectos de la oferta. Se procurará que las entidades contratantes obtengan mínimo tres proformas; en el caso de que no sea posible contar con ese número mínimo, la entidad contratante bajo su responsabilidad podrá continuar con el procedimiento, incluso si hubiere recibido una sola proforma; en el caso que existan imprecisiones o inconsistencias de forma la entidad contratante podrá solicitar las aclaraciones necesarias que solicita la entidad en el término de máximo de dos (2) días.</w:t>
            </w:r>
          </w:p>
          <w:p w14:paraId="43B4B712" w14:textId="6BCD4705"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 xml:space="preserve">6. Con la o las proformas presentadas, la entidad contratante de forma directa seleccionará al proveedor que cumpla con el mejor valor por dinero, conforme lo dispuesto en el presente Reglamento, verificando que el proveedor no se encuentre incurso en inhabilidades o prohibiciones para celebrar contratos con el Estado;</w:t>
            </w:r>
          </w:p>
          <w:p w14:paraId="25527BCE" w14:textId="500019AC"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 xml:space="preserve">7. Con el proveedor seleccionado se suscribirá la respectiva orden de compra y se dará inicio a su ejecución, conforme a las condiciones establecidas en la misma;</w:t>
            </w:r>
          </w:p>
          <w:p w14:paraId="6AC5793D" w14:textId="3CE00908"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 xml:space="preserve">8. Para la ejecución de la orden de compra, se aplicará la normativa prevista para los contratos en general; y,</w:t>
            </w:r>
          </w:p>
          <w:p w14:paraId="2C9929FB" w14:textId="12CE073D" w:rsidR="00D15C15" w:rsidRPr="006C4F8B" w:rsidRDefault="00D15C15" w:rsidP="00D15C15">
            <w:pPr>
              <w:spacing w:before="240"/>
              <w:jc w:val="both"/>
              <w:rPr>
                <w:rFonts w:ascii="Century Gothic" w:hAnsi="Century Gothic" w:cs="Arial"/>
                <w:bCs/>
                <w:sz w:val="20"/>
                <w:szCs w:val="20"/>
              </w:rPr>
            </w:pPr>
            <w:r>
              <w:rPr>
                <w:rFonts w:ascii="Century Gothic" w:hAnsi="Century Gothic" w:cs="Arial"/>
                <w:bCs/>
                <w:sz w:val="20"/>
                <w:szCs w:val="20"/>
              </w:rPr>
              <w:t xml:space="preserve">9. Una vez emitida la orden de compra, la información de la contratación por ínfima cuantía deberá ser reportada obligatoriamente en el término máximo de cinco (5) días en el Portal de Contratación Pública. </w:t>
            </w:r>
          </w:p>
          <w:p w14:paraId="281A6355" w14:textId="46DD1A34" w:rsidR="00706895" w:rsidRPr="009C3A0E" w:rsidRDefault="00706895" w:rsidP="00295AF7">
            <w:pPr>
              <w:jc w:val="both"/>
              <w:rPr>
                <w:rFonts w:ascii="Century Gothic" w:hAnsi="Century Gothic" w:cs="Arial"/>
                <w:b/>
                <w:bCs/>
                <w:sz w:val="20"/>
                <w:szCs w:val="20"/>
                <w:highlight w:val="yellow"/>
              </w:rPr>
            </w:pPr>
          </w:p>
          <w:p w14:paraId="0AE69E66" w14:textId="0A9889B7" w:rsidR="006A0514" w:rsidRPr="009C3A0E" w:rsidRDefault="006A0514" w:rsidP="00295AF7">
            <w:pPr>
              <w:jc w:val="both"/>
              <w:rPr>
                <w:rFonts w:ascii="Century Gothic" w:hAnsi="Century Gothic" w:cs="Arial"/>
                <w:b/>
                <w:sz w:val="20"/>
                <w:szCs w:val="20"/>
              </w:rPr>
            </w:pPr>
            <w:r>
              <w:rPr>
                <w:rFonts w:ascii="Century Gothic" w:hAnsi="Century Gothic" w:cs="Arial"/>
                <w:b/>
                <w:sz w:val="20"/>
                <w:szCs w:val="20"/>
              </w:rPr>
              <w:t>NORMAS DE CONTROL DEL SECTOR PÚBLICO Y JURÍDICAS DE DERECHO PRIVADO</w:t>
            </w:r>
          </w:p>
          <w:p w14:paraId="16728E5C" w14:textId="77777777" w:rsidR="006A0514" w:rsidRPr="009C3A0E" w:rsidRDefault="006A0514" w:rsidP="00295AF7">
            <w:pPr>
              <w:jc w:val="both"/>
              <w:rPr>
                <w:rFonts w:ascii="Century Gothic" w:hAnsi="Century Gothic" w:cs="Arial"/>
                <w:sz w:val="20"/>
                <w:szCs w:val="20"/>
              </w:rPr>
            </w:pPr>
          </w:p>
          <w:p w14:paraId="30B7CF96" w14:textId="17B8AECC" w:rsidR="007832A7" w:rsidRPr="009C3A0E" w:rsidRDefault="003B1091" w:rsidP="00295AF7">
            <w:pPr>
              <w:jc w:val="both"/>
              <w:rPr>
                <w:rFonts w:ascii="Century Gothic" w:hAnsi="Century Gothic" w:cs="Arial"/>
                <w:i/>
                <w:sz w:val="20"/>
                <w:szCs w:val="20"/>
              </w:rPr>
            </w:pPr>
            <w:r>
              <w:rPr>
                <w:rFonts w:ascii="Century Gothic" w:hAnsi="Century Gothic" w:cs="Arial"/>
                <w:sz w:val="20"/>
                <w:szCs w:val="20"/>
              </w:rPr>
              <w:t xml:space="preserve">Norma general Nro. 406-03.- “</w:t>
            </w:r>
            <w:r>
              <w:rPr>
                <w:rFonts w:ascii="Century Gothic" w:hAnsi="Century Gothic" w:cs="Arial"/>
                <w:i/>
                <w:sz w:val="20"/>
                <w:szCs w:val="20"/>
              </w:rPr>
              <w:t>Las entidades y organismos del sector público realizarán las contrataciones para adquisición o arrendamiento de bienes, ejecución de obras y prestación de servicios incluidos los de consultoría, a través del Sistema Nacional de Contratación Pública.</w:t>
            </w:r>
          </w:p>
          <w:p w14:paraId="16A3878F" w14:textId="77777777" w:rsidR="007832A7" w:rsidRPr="009C3A0E" w:rsidRDefault="007832A7" w:rsidP="00295AF7">
            <w:pPr>
              <w:jc w:val="both"/>
              <w:rPr>
                <w:rFonts w:ascii="Century Gothic" w:hAnsi="Century Gothic" w:cs="Arial"/>
                <w:i/>
                <w:sz w:val="20"/>
                <w:szCs w:val="20"/>
              </w:rPr>
            </w:pPr>
          </w:p>
          <w:p w14:paraId="1A94392A" w14:textId="77777777" w:rsidR="007832A7" w:rsidRPr="009C3A0E" w:rsidRDefault="007832A7" w:rsidP="00295AF7">
            <w:pPr>
              <w:jc w:val="both"/>
              <w:rPr>
                <w:rFonts w:ascii="Century Gothic" w:hAnsi="Century Gothic" w:cs="Arial"/>
                <w:i/>
                <w:sz w:val="20"/>
                <w:szCs w:val="20"/>
              </w:rPr>
            </w:pPr>
            <w:r>
              <w:rPr>
                <w:rFonts w:ascii="Century Gothic" w:hAnsi="Century Gothic" w:cs="Arial"/>
                <w:i/>
                <w:sz w:val="20"/>
                <w:szCs w:val="20"/>
              </w:rPr>
              <w:lastRenderedPageBreak/>
              <w:t xml:space="preserve">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w:t>
            </w:r>
          </w:p>
          <w:p w14:paraId="4361CD49" w14:textId="77777777" w:rsidR="007832A7" w:rsidRPr="009C3A0E" w:rsidRDefault="007832A7" w:rsidP="00295AF7">
            <w:pPr>
              <w:jc w:val="both"/>
              <w:rPr>
                <w:rFonts w:ascii="Century Gothic" w:hAnsi="Century Gothic" w:cs="Arial"/>
                <w:i/>
                <w:sz w:val="20"/>
                <w:szCs w:val="20"/>
              </w:rPr>
            </w:pPr>
          </w:p>
          <w:p w14:paraId="25E890A2" w14:textId="5AB232FA" w:rsidR="006A0514" w:rsidRPr="009C3A0E" w:rsidRDefault="007832A7" w:rsidP="00295AF7">
            <w:pPr>
              <w:jc w:val="both"/>
              <w:rPr>
                <w:rFonts w:ascii="Century Gothic" w:hAnsi="Century Gothic" w:cs="Arial"/>
                <w:i/>
                <w:sz w:val="20"/>
                <w:szCs w:val="20"/>
              </w:rPr>
            </w:pPr>
            <w:r>
              <w:rPr>
                <w:rFonts w:ascii="Century Gothic" w:hAnsi="Century Gothic" w:cs="Arial"/>
                <w:i/>
                <w:sz w:val="20"/>
                <w:szCs w:val="20"/>
              </w:rPr>
              <w:t xml:space="preserve">-Las adquisiciones serán solicitadas, autorizadas y ejecutadas con la anticipación suficiente y en las cantidades justificadas técnicamente; y, deberán considerar el tiempo que le toma a cada entidad la realización de un proceso de contratación hasta la adjudicación…”. </w:t>
            </w:r>
          </w:p>
          <w:p w14:paraId="45A4725B" w14:textId="77777777" w:rsidR="00AF6C8A" w:rsidRPr="009C3A0E" w:rsidRDefault="00AF6C8A" w:rsidP="00295AF7">
            <w:pPr>
              <w:jc w:val="both"/>
              <w:rPr>
                <w:rFonts w:ascii="Century Gothic" w:hAnsi="Century Gothic" w:cs="Arial"/>
                <w:bCs/>
                <w:sz w:val="20"/>
                <w:szCs w:val="20"/>
                <w:highlight w:val="yellow"/>
              </w:rPr>
            </w:pPr>
          </w:p>
          <w:p w14:paraId="588EE388" w14:textId="77777777" w:rsidR="003A0740" w:rsidRDefault="003A0740" w:rsidP="003A0740">
            <w:pPr>
              <w:jc w:val="both"/>
              <w:rPr>
                <w:rFonts w:ascii="Century Gothic" w:hAnsi="Century Gothic" w:cs="Arial"/>
                <w:b/>
                <w:bCs/>
                <w:sz w:val="20"/>
                <w:szCs w:val="20"/>
              </w:rPr>
            </w:pPr>
            <w:r>
              <w:rPr>
                <w:rFonts w:ascii="Century Gothic" w:hAnsi="Century Gothic" w:cs="Arial"/>
                <w:b/>
                <w:bCs/>
                <w:sz w:val="20"/>
                <w:szCs w:val="20"/>
              </w:rPr>
              <w:t xml:space="preserve">ORDENANZA SUSTITUTIVA QUE REGLAMENTA LA ORGANIZACIÓN, ADMINISTRACIÓN Y FUNCIONAMIENTO DEL CENTRO DE RESPONSABILIDAD SOCIAL Y SOLIDARIA MUNICIPAL “JORGE CAJAS GARZÓN” DEL CANTÓN SHUSHUFINDI</w:t>
            </w:r>
          </w:p>
          <w:p w14:paraId="7A56C2DF" w14:textId="5D527639" w:rsidR="00706895" w:rsidRPr="009C3A0E" w:rsidRDefault="00706895" w:rsidP="00295AF7">
            <w:pPr>
              <w:spacing w:before="240"/>
              <w:jc w:val="both"/>
              <w:rPr>
                <w:rFonts w:ascii="Century Gothic" w:hAnsi="Century Gothic" w:cs="Arial"/>
                <w:i/>
                <w:sz w:val="20"/>
                <w:szCs w:val="20"/>
              </w:rPr>
            </w:pPr>
            <w:r>
              <w:rPr>
                <w:rFonts w:ascii="Century Gothic" w:hAnsi="Century Gothic" w:cs="Arial"/>
                <w:b/>
                <w:sz w:val="20"/>
                <w:szCs w:val="20"/>
              </w:rPr>
              <w:t>Art. 1.-</w:t>
            </w:r>
            <w:r>
              <w:rPr>
                <w:rFonts w:ascii="Century Gothic" w:hAnsi="Century Gothic" w:cs="Arial"/>
                <w:sz w:val="20"/>
                <w:szCs w:val="20"/>
              </w:rPr>
              <w:t xml:space="preserve"> Naturaleza Jurídica. 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p w14:paraId="743BE8F1" w14:textId="57C86AD3" w:rsidR="004524B9" w:rsidRPr="009C3A0E" w:rsidRDefault="004524B9" w:rsidP="00295AF7">
            <w:pPr>
              <w:spacing w:before="240"/>
              <w:jc w:val="both"/>
              <w:rPr>
                <w:rFonts w:ascii="Century Gothic" w:hAnsi="Century Gothic" w:cs="Arial"/>
                <w:sz w:val="20"/>
                <w:szCs w:val="20"/>
              </w:rPr>
            </w:pPr>
            <w:r>
              <w:rPr>
                <w:rFonts w:ascii="Century Gothic" w:hAnsi="Century Gothic" w:cs="Arial"/>
                <w:b/>
                <w:i/>
                <w:sz w:val="20"/>
                <w:szCs w:val="20"/>
              </w:rPr>
              <w:t>Art. 28.-</w:t>
            </w:r>
            <w:r>
              <w:rPr>
                <w:rFonts w:ascii="Century Gothic" w:hAnsi="Century Gothic" w:cs="Arial"/>
                <w:i/>
                <w:sz w:val="20"/>
                <w:szCs w:val="20"/>
              </w:rPr>
              <w:t xml:space="preserve"> Son funciones del Director/a General del Centro de Responsabilidad Social y Solidaria Municipal Jorge Cajas Garzón del Cantón Shushufindi, además de las definidas en la Ley, decreto o acuerdos pertinentes, las siguientes…”.  “… 5. Efectuar la contratación de bienes y servicios que se requieran, dentro del límite de gastos autorizados, en el marco del Plan Anual de Contratación, y de forma responsable para suplir necesidades del Centro de Responsabilidad Social y Solidaria Municipal Jorge Cajas Garzón del Cantón Shushufindi…”.</w:t>
            </w:r>
            <w:r>
              <w:rPr>
                <w:rFonts w:ascii="Century Gothic" w:hAnsi="Century Gothic" w:cs="Arial"/>
                <w:sz w:val="20"/>
                <w:szCs w:val="20"/>
              </w:rPr>
              <w:t xml:space="preserve"> </w:t>
            </w:r>
          </w:p>
          <w:p w14:paraId="427B72CF" w14:textId="77777777" w:rsidR="003322AA" w:rsidRPr="009C3A0E" w:rsidRDefault="003322AA" w:rsidP="00295AF7">
            <w:pPr>
              <w:spacing w:before="240"/>
              <w:jc w:val="both"/>
              <w:rPr>
                <w:rFonts w:ascii="Century Gothic" w:hAnsi="Century Gothic" w:cs="Arial"/>
                <w:sz w:val="20"/>
                <w:szCs w:val="20"/>
              </w:rPr>
            </w:pPr>
          </w:p>
          <w:p w14:paraId="7E8B5887" w14:textId="44C7D2BB" w:rsidR="003322AA" w:rsidRPr="009C3A0E" w:rsidRDefault="003322AA" w:rsidP="003322AA">
            <w:pPr>
              <w:jc w:val="both"/>
              <w:rPr>
                <w:rFonts w:ascii="Century Gothic" w:hAnsi="Century Gothic" w:cs="Arial"/>
                <w:b/>
                <w:sz w:val="20"/>
                <w:szCs w:val="20"/>
              </w:rPr>
            </w:pPr>
            <w:r>
              <w:rPr>
                <w:rFonts w:ascii="Century Gothic" w:hAnsi="Century Gothic" w:cs="Arial"/>
                <w:b/>
                <w:sz w:val="20"/>
                <w:szCs w:val="20"/>
              </w:rPr>
              <w:t>ORDENANZA QUE REGULA Y GARANTIZA LA CONTRATACIÓN DEL EMPLEO PREFERENTE, ADQUISICIÓN DE BIENES Y SERVICIOS DE LAS Y LOS RESIDENTES DEL CANTÓN SHUSHUFINDI.</w:t>
            </w:r>
          </w:p>
          <w:p w14:paraId="01F35812" w14:textId="77777777" w:rsidR="000C51CB" w:rsidRDefault="000C51CB" w:rsidP="001B44C1">
            <w:pPr>
              <w:jc w:val="both"/>
              <w:rPr>
                <w:rFonts w:ascii="Century Gothic" w:hAnsi="Century Gothic" w:cs="Arial"/>
                <w:sz w:val="20"/>
                <w:szCs w:val="20"/>
              </w:rPr>
            </w:pPr>
          </w:p>
          <w:p w14:paraId="2290ED55" w14:textId="38C1651C" w:rsidR="001B44C1" w:rsidRPr="009C3A0E" w:rsidRDefault="001B44C1" w:rsidP="001B44C1">
            <w:pPr>
              <w:jc w:val="both"/>
              <w:rPr>
                <w:rFonts w:ascii="Century Gothic" w:hAnsi="Century Gothic" w:cs="Arial"/>
                <w:sz w:val="20"/>
                <w:szCs w:val="20"/>
              </w:rPr>
            </w:pPr>
            <w:r>
              <w:rPr>
                <w:rFonts w:ascii="Century Gothic" w:hAnsi="Century Gothic" w:cs="Arial"/>
                <w:b/>
                <w:sz w:val="20"/>
                <w:szCs w:val="20"/>
              </w:rPr>
              <w:t>Art. 12.-</w:t>
            </w:r>
            <w:r>
              <w:rPr>
                <w:rFonts w:ascii="Century Gothic" w:hAnsi="Century Gothic" w:cs="Arial"/>
                <w:sz w:val="20"/>
                <w:szCs w:val="20"/>
              </w:rPr>
              <w:t xml:space="preserve"> Las personas naturales y jurídicas determinadas en el Art. 1 de la presente ordenanza, para los contratos de ejecución de obras, adquisición de bienes y prestación de servicios incluidos los de consultoría, el adjudicatario deberá obligatoriamente adquirir no menos del 80% de los bienes, materiales y/o servicios en la jurisdicción del cantón Shushufindi, en el evento de que no existan en la localidad los bienes y/o materiales requeridos, previo la autorización emitida por el Administrador del Contrato, Fiscalizador o quien haga sus veces y una vez que se ha demostrado fehacientemente la inexistencia de los bienes y/o materiales, se podrá adquirir fuera de la circunscripción del cantón Shushufindi, en primer lugar los cantones de la Provincia Sucumbíos y en el evento de no existir, podrá adquirirlos en las demás provincias de la circunscripción territorial amazónica.</w:t>
            </w:r>
          </w:p>
          <w:p w14:paraId="2CEDA920" w14:textId="77777777" w:rsidR="001B44C1" w:rsidRPr="009C3A0E" w:rsidRDefault="001B44C1" w:rsidP="001B44C1">
            <w:pPr>
              <w:jc w:val="both"/>
              <w:rPr>
                <w:rFonts w:ascii="Century Gothic" w:hAnsi="Century Gothic" w:cs="Arial"/>
                <w:sz w:val="20"/>
                <w:szCs w:val="20"/>
              </w:rPr>
            </w:pPr>
          </w:p>
          <w:p w14:paraId="347E02E6" w14:textId="6E50A46F" w:rsidR="001B44C1" w:rsidRDefault="001B44C1" w:rsidP="001B44C1">
            <w:pPr>
              <w:jc w:val="both"/>
              <w:rPr>
                <w:rFonts w:ascii="Century Gothic" w:hAnsi="Century Gothic" w:cs="Arial"/>
                <w:sz w:val="20"/>
                <w:szCs w:val="20"/>
              </w:rPr>
            </w:pPr>
            <w:r>
              <w:rPr>
                <w:rFonts w:ascii="Century Gothic" w:hAnsi="Century Gothic" w:cs="Arial"/>
                <w:sz w:val="20"/>
                <w:szCs w:val="20"/>
              </w:rPr>
              <w:t xml:space="preserve">Debiendo los bienes y/o servicios ofertados en esta jurisdicción cantonal, estar acordes a los precios de mercado de la Región, como medida de protección para el oferente/consumidor, los expendedores de los bienes y/o servicios estarán sujetos de control conforme lo preceptúa los artículos 51 y 53 de la Ley Orgánica de Defensa del Consumidor para de esta manera evitar cualquier práctica desleal que tienda a causar la especulación indiscriminada de precios, dentro de la jurisdicción local por las condiciones de vida, entiéndase económica, social, ambiental por ser una zona especial. </w:t>
            </w:r>
          </w:p>
          <w:p w14:paraId="3F667FD2" w14:textId="77777777" w:rsidR="00A12D07" w:rsidRPr="009C3A0E" w:rsidRDefault="00A12D07" w:rsidP="00A12D07">
            <w:pPr>
              <w:spacing w:before="240"/>
              <w:jc w:val="both"/>
              <w:rPr>
                <w:rFonts w:ascii="Century Gothic" w:eastAsia="Times New Roman" w:hAnsi="Century Gothic"/>
                <w:i/>
                <w:iCs/>
                <w:sz w:val="20"/>
                <w:szCs w:val="20"/>
                <w:lang w:eastAsia="es-ES"/>
              </w:rPr>
            </w:pPr>
            <w:r>
              <w:rPr>
                <w:rFonts w:ascii="Century Gothic" w:hAnsi="Century Gothic" w:cs="Arial"/>
                <w:sz w:val="20"/>
                <w:szCs w:val="20"/>
                <w:highlight w:val="yellow"/>
              </w:rPr>
              <w:t>AGREGAR NORMATIVA APLICABLE PERTINENTE AL PROCESO DE CONTRATACION Y REFERENTE A LA UNIDAD REQUIRENTE</w:t>
            </w:r>
            <w:r>
              <w:rPr>
                <w:rFonts w:ascii="Century Gothic" w:hAnsi="Century Gothic" w:cs="Arial"/>
                <w:sz w:val="20"/>
                <w:szCs w:val="20"/>
              </w:rPr>
              <w:t xml:space="preserve"> </w:t>
            </w:r>
          </w:p>
          <w:p w14:paraId="0CB60EE8" w14:textId="1C37244F" w:rsidR="00A12D07" w:rsidRDefault="00A12D07" w:rsidP="001B44C1">
            <w:pPr>
              <w:jc w:val="both"/>
              <w:rPr>
                <w:rFonts w:ascii="Century Gothic" w:hAnsi="Century Gothic" w:cs="Arial"/>
                <w:sz w:val="20"/>
                <w:szCs w:val="20"/>
              </w:rPr>
            </w:pPr>
          </w:p>
          <w:p w14:paraId="5058F605" w14:textId="77777777" w:rsidR="00417D09" w:rsidRPr="00285A8B" w:rsidRDefault="00417D09" w:rsidP="00417D09">
            <w:pPr>
              <w:spacing w:before="240"/>
              <w:jc w:val="both"/>
              <w:rPr>
                <w:rFonts w:ascii="Century Gothic" w:hAnsi="Century Gothic" w:cs="Arial"/>
                <w:b/>
                <w:i/>
                <w:sz w:val="24"/>
                <w:szCs w:val="20"/>
              </w:rPr>
            </w:pPr>
            <w:r>
              <w:rPr>
                <w:rFonts w:ascii="Century Gothic" w:hAnsi="Century Gothic" w:cs="Arial"/>
                <w:b/>
                <w:i/>
                <w:sz w:val="24"/>
                <w:szCs w:val="20"/>
                <w:highlight w:val="yellow"/>
              </w:rPr>
              <w:t>VERIFICAR NORMATIVA ACORDE AL PROCESO DE CONTRATACION, CASO CONTRARIO ELIMINAR LA NORMATIVA QUE NO AJUSTE AL PROCESO A EJECUTARSE</w:t>
            </w:r>
            <w:r>
              <w:rPr>
                <w:rFonts w:ascii="Century Gothic" w:hAnsi="Century Gothic" w:cs="Arial"/>
                <w:b/>
                <w:i/>
                <w:sz w:val="24"/>
                <w:szCs w:val="20"/>
              </w:rPr>
              <w:t xml:space="preserve"> </w:t>
            </w:r>
          </w:p>
          <w:p w14:paraId="0A789E2E" w14:textId="77777777" w:rsidR="00417D09" w:rsidRPr="009C3A0E" w:rsidRDefault="00417D09" w:rsidP="001B44C1">
            <w:pPr>
              <w:jc w:val="both"/>
              <w:rPr>
                <w:rFonts w:ascii="Century Gothic" w:hAnsi="Century Gothic" w:cs="Arial"/>
                <w:sz w:val="20"/>
                <w:szCs w:val="20"/>
              </w:rPr>
            </w:pPr>
          </w:p>
          <w:p w14:paraId="41CBA599" w14:textId="39DED2FC" w:rsidR="003322AA" w:rsidRPr="00417D09" w:rsidRDefault="00E87565" w:rsidP="00295AF7">
            <w:pPr>
              <w:spacing w:before="240"/>
              <w:jc w:val="both"/>
              <w:rPr>
                <w:rFonts w:ascii="Century Gothic" w:hAnsi="Century Gothic" w:cs="Arial"/>
                <w:i/>
                <w:sz w:val="40"/>
                <w:szCs w:val="20"/>
                <w:u w:val="single"/>
              </w:rPr>
            </w:pPr>
            <w:r>
              <w:rPr>
                <w:rFonts w:ascii="Century Gothic" w:hAnsi="Century Gothic" w:cs="Arial"/>
                <w:i/>
                <w:sz w:val="40"/>
                <w:szCs w:val="20"/>
                <w:highlight w:val="yellow"/>
                <w:u w:val="single"/>
              </w:rPr>
              <w:lastRenderedPageBreak/>
              <w:t>PARA SUBASTA INVERSA</w:t>
            </w:r>
          </w:p>
          <w:p w14:paraId="390DCA91" w14:textId="77777777" w:rsidR="00E87565" w:rsidRDefault="00E87565" w:rsidP="00E87565">
            <w:pPr>
              <w:jc w:val="both"/>
              <w:rPr>
                <w:rFonts w:ascii="Century Gothic" w:hAnsi="Century Gothic" w:cs="Arial"/>
                <w:b/>
                <w:bCs/>
                <w:sz w:val="20"/>
                <w:szCs w:val="20"/>
              </w:rPr>
            </w:pPr>
          </w:p>
          <w:p w14:paraId="5F9385EC" w14:textId="77777777" w:rsidR="0044322C" w:rsidRPr="009C3A0E" w:rsidRDefault="0044322C" w:rsidP="0044322C">
            <w:pPr>
              <w:jc w:val="both"/>
              <w:rPr>
                <w:rFonts w:ascii="Century Gothic" w:hAnsi="Century Gothic" w:cs="Arial"/>
                <w:b/>
                <w:bCs/>
                <w:sz w:val="20"/>
                <w:szCs w:val="20"/>
              </w:rPr>
            </w:pPr>
            <w:r>
              <w:rPr>
                <w:rFonts w:ascii="Century Gothic" w:hAnsi="Century Gothic" w:cs="Arial"/>
                <w:b/>
                <w:bCs/>
                <w:sz w:val="20"/>
                <w:szCs w:val="20"/>
              </w:rPr>
              <w:t>CONSTITUCIÓN DE LA REPUBLICA DEL ECUADOR</w:t>
            </w:r>
          </w:p>
          <w:p w14:paraId="3985A9C4" w14:textId="77777777" w:rsidR="0044322C" w:rsidRPr="009C3A0E" w:rsidRDefault="0044322C" w:rsidP="0044322C">
            <w:pPr>
              <w:spacing w:before="240"/>
              <w:jc w:val="both"/>
              <w:rPr>
                <w:rFonts w:ascii="Century Gothic" w:hAnsi="Century Gothic" w:cs="Arial"/>
                <w:sz w:val="20"/>
                <w:szCs w:val="20"/>
              </w:rPr>
            </w:pPr>
            <w:r>
              <w:rPr>
                <w:rFonts w:ascii="Century Gothic" w:hAnsi="Century Gothic" w:cs="Arial"/>
                <w:b/>
                <w:sz w:val="20"/>
                <w:szCs w:val="20"/>
              </w:rPr>
              <w:t>Art. 226.-</w:t>
            </w:r>
            <w:r>
              <w:rPr>
                <w:rFonts w:ascii="Century Gothic" w:hAnsi="Century Gothic" w:cs="Arial"/>
                <w:sz w:val="20"/>
                <w:szCs w:val="20"/>
              </w:rPr>
              <w:t xml:space="preserve"> 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14:paraId="57CEA7C8" w14:textId="77777777" w:rsidR="0044322C" w:rsidRPr="009C3A0E" w:rsidRDefault="0044322C" w:rsidP="0044322C">
            <w:pPr>
              <w:spacing w:before="240"/>
              <w:jc w:val="both"/>
              <w:rPr>
                <w:rFonts w:ascii="Century Gothic" w:hAnsi="Century Gothic" w:cs="Arial"/>
                <w:sz w:val="20"/>
                <w:szCs w:val="20"/>
              </w:rPr>
            </w:pPr>
            <w:r>
              <w:rPr>
                <w:rFonts w:ascii="Century Gothic" w:hAnsi="Century Gothic" w:cs="Arial"/>
                <w:b/>
                <w:sz w:val="20"/>
                <w:szCs w:val="20"/>
              </w:rPr>
              <w:t>Art. 227.-</w:t>
            </w:r>
            <w:r>
              <w:rPr>
                <w:rFonts w:ascii="Century Gothic" w:hAnsi="Century Gothic" w:cs="Arial"/>
                <w:sz w:val="20"/>
                <w:szCs w:val="20"/>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p>
          <w:p w14:paraId="2E078CDB" w14:textId="77777777" w:rsidR="0044322C" w:rsidRPr="009C3A0E" w:rsidRDefault="0044322C" w:rsidP="0044322C">
            <w:pPr>
              <w:spacing w:before="240"/>
              <w:jc w:val="both"/>
              <w:rPr>
                <w:rFonts w:ascii="Century Gothic" w:hAnsi="Century Gothic" w:cs="Arial"/>
                <w:sz w:val="20"/>
                <w:szCs w:val="20"/>
              </w:rPr>
            </w:pPr>
            <w:r>
              <w:rPr>
                <w:rFonts w:ascii="Century Gothic" w:hAnsi="Century Gothic" w:cs="Arial"/>
                <w:b/>
                <w:sz w:val="20"/>
                <w:szCs w:val="20"/>
              </w:rPr>
              <w:t>Art. 288</w:t>
            </w:r>
            <w:r>
              <w:rPr>
                <w:rFonts w:ascii="Century Gothic" w:hAnsi="Century Gothic" w:cs="Arial"/>
                <w:sz w:val="20"/>
                <w:szCs w:val="20"/>
              </w:rPr>
              <w:t>.- 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p>
          <w:p w14:paraId="72B3884B" w14:textId="77777777" w:rsidR="0044322C" w:rsidRPr="009C3A0E" w:rsidRDefault="0044322C" w:rsidP="0044322C">
            <w:pPr>
              <w:jc w:val="both"/>
              <w:rPr>
                <w:rFonts w:ascii="Century Gothic" w:hAnsi="Century Gothic" w:cs="Arial"/>
                <w:b/>
                <w:bCs/>
                <w:sz w:val="20"/>
                <w:szCs w:val="20"/>
                <w:lang w:val="es-ES"/>
              </w:rPr>
            </w:pPr>
          </w:p>
          <w:p w14:paraId="6C80A42C" w14:textId="77777777" w:rsidR="0044322C" w:rsidRPr="009C3A0E" w:rsidRDefault="0044322C" w:rsidP="0044322C">
            <w:pPr>
              <w:jc w:val="both"/>
              <w:rPr>
                <w:rFonts w:ascii="Century Gothic" w:hAnsi="Century Gothic" w:cs="Arial"/>
                <w:b/>
                <w:bCs/>
                <w:sz w:val="20"/>
                <w:szCs w:val="20"/>
                <w:lang w:val="es-ES"/>
              </w:rPr>
            </w:pPr>
            <w:r>
              <w:rPr>
                <w:rFonts w:ascii="Century Gothic" w:hAnsi="Century Gothic" w:cs="Arial"/>
                <w:b/>
                <w:bCs/>
                <w:sz w:val="20"/>
                <w:szCs w:val="20"/>
                <w:lang w:val="es-ES"/>
              </w:rPr>
              <w:t>CÓDIGO ORGÁNICO DE ORGANIZACIÓN TERRITORIAL AUTONOMÍA Y DESCENTRALIZACIÓN</w:t>
            </w:r>
          </w:p>
          <w:p w14:paraId="1E2720CD" w14:textId="77777777" w:rsidR="0044322C" w:rsidRPr="009C3A0E" w:rsidRDefault="0044322C" w:rsidP="0044322C">
            <w:pPr>
              <w:jc w:val="both"/>
              <w:rPr>
                <w:rFonts w:ascii="Century Gothic" w:hAnsi="Century Gothic" w:cs="Arial"/>
                <w:b/>
                <w:bCs/>
                <w:sz w:val="20"/>
                <w:szCs w:val="20"/>
                <w:lang w:val="es-ES"/>
              </w:rPr>
            </w:pPr>
          </w:p>
          <w:p w14:paraId="5E2212D7" w14:textId="77777777" w:rsidR="0044322C" w:rsidRPr="009C3A0E" w:rsidRDefault="0044322C" w:rsidP="0044322C">
            <w:pPr>
              <w:jc w:val="both"/>
              <w:rPr>
                <w:rFonts w:ascii="Century Gothic" w:hAnsi="Century Gothic" w:cs="Arial"/>
                <w:sz w:val="20"/>
                <w:szCs w:val="20"/>
              </w:rPr>
            </w:pPr>
            <w:r>
              <w:rPr>
                <w:rFonts w:ascii="Century Gothic" w:hAnsi="Century Gothic" w:cs="Arial"/>
                <w:b/>
                <w:sz w:val="20"/>
                <w:szCs w:val="20"/>
              </w:rPr>
              <w:t>Art. 278.-</w:t>
            </w:r>
            <w:r>
              <w:rPr>
                <w:rFonts w:ascii="Century Gothic" w:hAnsi="Century Gothic" w:cs="Arial"/>
                <w:i/>
                <w:sz w:val="20"/>
                <w:szCs w:val="20"/>
              </w:rPr>
              <w:t>Gestión por contrato. - En la adquisición o arrendamiento de bienes, ejecución de obras y prestación de servicios, incluidos los de consultoría, los gobiernos autónomos descentralizados observarán las disposiciones, principios, herramientas e instrumentos previstos en la Ley que regule la contratación pública.</w:t>
            </w:r>
          </w:p>
          <w:p w14:paraId="5C39AF0D" w14:textId="77777777" w:rsidR="0044322C" w:rsidRPr="009C3A0E" w:rsidRDefault="0044322C" w:rsidP="0044322C">
            <w:pPr>
              <w:jc w:val="both"/>
              <w:rPr>
                <w:rFonts w:ascii="Century Gothic" w:hAnsi="Century Gothic" w:cs="Arial"/>
                <w:b/>
                <w:bCs/>
                <w:sz w:val="20"/>
                <w:szCs w:val="20"/>
                <w:lang w:val="es-ES"/>
              </w:rPr>
            </w:pPr>
          </w:p>
          <w:p w14:paraId="2BFD639C" w14:textId="77777777" w:rsidR="0044322C" w:rsidRPr="009C3A0E" w:rsidRDefault="0044322C" w:rsidP="0044322C">
            <w:pPr>
              <w:jc w:val="both"/>
              <w:rPr>
                <w:rFonts w:ascii="Century Gothic" w:hAnsi="Century Gothic" w:cs="Arial"/>
                <w:b/>
                <w:bCs/>
                <w:sz w:val="20"/>
                <w:szCs w:val="20"/>
                <w:lang w:val="es-ES"/>
              </w:rPr>
            </w:pPr>
            <w:r>
              <w:rPr>
                <w:rFonts w:ascii="Century Gothic" w:hAnsi="Century Gothic" w:cs="Arial"/>
                <w:b/>
                <w:bCs/>
                <w:sz w:val="20"/>
                <w:szCs w:val="20"/>
                <w:lang w:val="es-ES"/>
              </w:rPr>
              <w:t>LEY ORGÁNICA DEL SISTEMA NACIONAL DE CONTRATACIÓN PÚBLICA –LOSNCP</w:t>
            </w:r>
          </w:p>
          <w:p w14:paraId="32E32200" w14:textId="77777777" w:rsidR="0044322C" w:rsidRPr="009C3A0E" w:rsidRDefault="0044322C" w:rsidP="0044322C">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3</w:t>
            </w:r>
            <w:r>
              <w:rPr>
                <w:rFonts w:ascii="Century Gothic" w:hAnsi="Century Gothic" w:cs="Arial"/>
                <w:sz w:val="20"/>
                <w:szCs w:val="20"/>
              </w:rPr>
              <w:t xml:space="preserve">.- </w:t>
            </w:r>
            <w:r>
              <w:rPr>
                <w:rFonts w:ascii="Century Gothic" w:hAnsi="Century Gothic" w:cs="Arial"/>
                <w:i/>
                <w:sz w:val="20"/>
                <w:szCs w:val="20"/>
              </w:rPr>
              <w:t xml:space="preserve">Principios. - Para la aplicación de esta Ley, y priorizando el interés público por encima del privado respetando el marco constitucional y legal, se vigilará la integridad de los procedimientos y contratos 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14:paraId="4E9C3B08" w14:textId="77777777" w:rsidR="0044322C" w:rsidRPr="009C3A0E" w:rsidRDefault="0044322C" w:rsidP="0044322C">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21</w:t>
            </w:r>
            <w:r>
              <w:rPr>
                <w:rFonts w:ascii="Century Gothic" w:hAnsi="Century Gothic" w:cs="Arial"/>
                <w:sz w:val="20"/>
                <w:szCs w:val="20"/>
              </w:rPr>
              <w:t xml:space="preserve">.- </w:t>
            </w:r>
            <w:r>
              <w:rPr>
                <w:rFonts w:ascii="Century Gothic" w:hAnsi="Century Gothic" w:cs="Arial"/>
                <w:i/>
                <w:sz w:val="20"/>
                <w:szCs w:val="20"/>
              </w:rPr>
              <w:t xml:space="preserve">Portal de Contratación Pública. - s la plataforma informática oficial de contratación pública del Ecuador, será de uso obligatorio para proveedores y entidades contratantes, y será administrado por el SERCOP. El Portal de Contratación Pública contendrá respecto de todas las modalidades de contratación pública, salvo las sometidas a reserva por mandato de la Ley, entre otras, el RUP, catálogos o repertorios de compras, documentación o información de todas las fases de las contrataciones públicas, estadísticas, contratistas incumplidos o adjudicatarios fallidos, otras sanciones establecidas y la información sobre el estado de las contrataciones públicas. Será el único medio empleado para realizar todo procedimiento electrónico de contratación pública, de acuerdo con las disposiciones de la presente Ley y su Reglamento…”.</w:t>
            </w:r>
            <w:r>
              <w:rPr>
                <w:rFonts w:ascii="Century Gothic" w:hAnsi="Century Gothic" w:cs="Arial"/>
                <w:sz w:val="20"/>
                <w:szCs w:val="20"/>
              </w:rPr>
              <w:t xml:space="preserve"> </w:t>
            </w:r>
          </w:p>
          <w:p w14:paraId="5A91845C" w14:textId="77777777" w:rsidR="0044322C" w:rsidRPr="00C72754" w:rsidRDefault="0044322C" w:rsidP="0044322C">
            <w:pPr>
              <w:spacing w:before="240"/>
              <w:jc w:val="both"/>
              <w:rPr>
                <w:rFonts w:ascii="Century Gothic" w:hAnsi="Century Gothic" w:cs="Arial"/>
                <w:sz w:val="20"/>
                <w:szCs w:val="20"/>
              </w:rPr>
            </w:pPr>
            <w:r>
              <w:rPr>
                <w:rFonts w:ascii="Century Gothic" w:hAnsi="Century Gothic" w:cs="Arial"/>
                <w:b/>
                <w:sz w:val="20"/>
                <w:szCs w:val="20"/>
              </w:rPr>
              <w:t>Art.</w:t>
            </w:r>
            <w:r>
              <w:rPr>
                <w:rFonts w:ascii="Century Gothic" w:hAnsi="Century Gothic" w:cs="Arial"/>
                <w:sz w:val="20"/>
                <w:szCs w:val="20"/>
              </w:rPr>
              <w:t xml:space="preserve"> </w:t>
            </w:r>
            <w:r>
              <w:rPr>
                <w:rFonts w:ascii="Century Gothic" w:hAnsi="Century Gothic" w:cs="Arial"/>
                <w:b/>
                <w:sz w:val="20"/>
                <w:szCs w:val="20"/>
              </w:rPr>
              <w:t>46.-</w:t>
            </w:r>
            <w:r>
              <w:rPr>
                <w:rFonts w:ascii="Century Gothic" w:hAnsi="Century Gothic" w:cs="Arial"/>
                <w:sz w:val="20"/>
                <w:szCs w:val="20"/>
              </w:rPr>
              <w:t>Las Entidades Contratantes deberán consultar el catálogo electrónico previamente a establecer procesos de adquisición de bienes y servicios. Solo en caso de que el bien o servicio requerido no se encuentre catalogado se podrá realizar otros procedimientos de selección para la adquisición de bienes o servicios, de conformidad con la presente Ley y su Reglamento.</w:t>
            </w:r>
          </w:p>
          <w:p w14:paraId="4713BB1F" w14:textId="2F5210D6" w:rsidR="00E87565" w:rsidRPr="009C3A0E" w:rsidRDefault="0044322C" w:rsidP="00DB1081">
            <w:pPr>
              <w:spacing w:before="240"/>
              <w:jc w:val="both"/>
              <w:rPr>
                <w:rFonts w:ascii="Century Gothic" w:hAnsi="Century Gothic" w:cs="Arial"/>
                <w:i/>
                <w:sz w:val="20"/>
                <w:szCs w:val="20"/>
              </w:rPr>
            </w:pPr>
            <w:r>
              <w:rPr>
                <w:rFonts w:ascii="Century Gothic" w:hAnsi="Century Gothic" w:cs="Arial"/>
                <w:b/>
                <w:sz w:val="20"/>
                <w:szCs w:val="20"/>
              </w:rPr>
              <w:t xml:space="preserve">“Art. 47.-</w:t>
            </w:r>
            <w:r>
              <w:rPr>
                <w:rFonts w:ascii="Century Gothic" w:hAnsi="Century Gothic" w:cs="Arial"/>
                <w:sz w:val="20"/>
                <w:szCs w:val="20"/>
              </w:rPr>
              <w:t xml:space="preserve"> Subasta inversa electrónica. - Para la adquisición de bienes y servicios que no consten en el Catálogo Electrónico, las entidades contratantes podrán realizar subastas inversas electrónicas en las cuales los proveedores de bienes y servicios pujan hacia la baja el precio ofertado, por medios </w:t>
              <w:lastRenderedPageBreak/>
              <w:t xml:space="preserve">electrónicos a través del Portal de Contratación Pública, en el cuál quedarán registrados los resultados de la puja y el proveedor adjudicado. Esta información será utilizada para las auditorías correspondientes…”.</w:t>
            </w:r>
            <w:r>
              <w:rPr>
                <w:rFonts w:ascii="Century Gothic" w:hAnsi="Century Gothic" w:cs="Arial"/>
                <w:i/>
                <w:sz w:val="20"/>
                <w:szCs w:val="20"/>
              </w:rPr>
              <w:t xml:space="preserve"> </w:t>
            </w:r>
          </w:p>
          <w:p w14:paraId="5AFE718C" w14:textId="77777777" w:rsidR="00E87565" w:rsidRPr="009C3A0E" w:rsidRDefault="00E87565" w:rsidP="00E87565">
            <w:pPr>
              <w:spacing w:before="240"/>
              <w:jc w:val="both"/>
              <w:rPr>
                <w:rFonts w:ascii="Century Gothic" w:hAnsi="Century Gothic" w:cs="Arial"/>
                <w:i/>
                <w:sz w:val="20"/>
                <w:szCs w:val="20"/>
              </w:rPr>
            </w:pPr>
          </w:p>
          <w:p w14:paraId="71C59E7B" w14:textId="77777777" w:rsidR="004444C4" w:rsidRPr="009C3A0E" w:rsidRDefault="004444C4" w:rsidP="004444C4">
            <w:pPr>
              <w:jc w:val="both"/>
              <w:rPr>
                <w:rFonts w:ascii="Century Gothic" w:hAnsi="Century Gothic" w:cs="Arial"/>
                <w:b/>
                <w:sz w:val="20"/>
                <w:szCs w:val="20"/>
              </w:rPr>
            </w:pPr>
            <w:r>
              <w:rPr>
                <w:rFonts w:ascii="Century Gothic" w:hAnsi="Century Gothic" w:cs="Arial"/>
                <w:b/>
                <w:sz w:val="20"/>
                <w:szCs w:val="20"/>
              </w:rPr>
              <w:t>LEY ORGÁNICA PARA LA PLANIFICACIÓN Y DESARROLLO INTEGRAL DE LA CIRCUNSCRIPCIÓN TERRITORIAL ESPECIAL AMAZÓNICA</w:t>
            </w:r>
          </w:p>
          <w:p w14:paraId="455DD6AF" w14:textId="77777777" w:rsidR="004444C4" w:rsidRPr="009C3A0E" w:rsidRDefault="004444C4" w:rsidP="004444C4">
            <w:pPr>
              <w:spacing w:before="240"/>
              <w:jc w:val="both"/>
              <w:rPr>
                <w:rFonts w:ascii="Century Gothic" w:hAnsi="Century Gothic" w:cs="Arial"/>
                <w:i/>
                <w:sz w:val="20"/>
                <w:szCs w:val="20"/>
              </w:rPr>
            </w:pPr>
          </w:p>
          <w:p w14:paraId="3C01D71C" w14:textId="77777777" w:rsidR="004444C4" w:rsidRPr="009C3A0E" w:rsidRDefault="004444C4" w:rsidP="004444C4">
            <w:pPr>
              <w:jc w:val="both"/>
              <w:rPr>
                <w:rFonts w:ascii="Century Gothic" w:hAnsi="Century Gothic" w:cs="Arial"/>
                <w:sz w:val="20"/>
                <w:szCs w:val="20"/>
              </w:rPr>
            </w:pPr>
            <w:r>
              <w:rPr>
                <w:rFonts w:ascii="Century Gothic" w:hAnsi="Century Gothic" w:cs="Arial"/>
                <w:b/>
                <w:sz w:val="20"/>
                <w:szCs w:val="20"/>
              </w:rPr>
              <w:t>Art. 41.3.-</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2DA6175A" w14:textId="77777777" w:rsidR="004444C4" w:rsidRPr="009C3A0E" w:rsidRDefault="004444C4" w:rsidP="004444C4">
            <w:pPr>
              <w:spacing w:before="240"/>
              <w:jc w:val="both"/>
              <w:rPr>
                <w:rFonts w:ascii="Century Gothic" w:hAnsi="Century Gothic" w:cs="Arial"/>
                <w:sz w:val="20"/>
                <w:szCs w:val="20"/>
              </w:rPr>
            </w:pPr>
            <w:r>
              <w:rPr>
                <w:rFonts w:ascii="Century Gothic" w:hAnsi="Century Gothic" w:cs="Arial"/>
                <w:b/>
                <w:sz w:val="20"/>
                <w:szCs w:val="20"/>
              </w:rPr>
              <w:t>Disposición general Quinta</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57DAAACA" w14:textId="77777777" w:rsidR="004444C4" w:rsidRPr="009C3A0E" w:rsidRDefault="004444C4" w:rsidP="004444C4">
            <w:pPr>
              <w:spacing w:before="240"/>
              <w:jc w:val="both"/>
              <w:rPr>
                <w:rFonts w:ascii="Century Gothic" w:hAnsi="Century Gothic" w:cs="Arial"/>
                <w:sz w:val="20"/>
                <w:szCs w:val="20"/>
              </w:rPr>
            </w:pPr>
          </w:p>
          <w:p w14:paraId="7AD6F214" w14:textId="77777777" w:rsidR="004444C4" w:rsidRPr="009C3A0E" w:rsidRDefault="004444C4" w:rsidP="004444C4">
            <w:pPr>
              <w:autoSpaceDE w:val="0"/>
              <w:autoSpaceDN w:val="0"/>
              <w:adjustRightInd w:val="0"/>
              <w:jc w:val="both"/>
              <w:rPr>
                <w:rFonts w:ascii="Century Gothic" w:hAnsi="Century Gothic" w:cs="Arial"/>
                <w:b/>
                <w:sz w:val="20"/>
                <w:szCs w:val="20"/>
              </w:rPr>
            </w:pPr>
            <w:r>
              <w:rPr>
                <w:rFonts w:ascii="Century Gothic" w:hAnsi="Century Gothic" w:cs="Arial"/>
                <w:b/>
                <w:sz w:val="20"/>
                <w:szCs w:val="20"/>
              </w:rPr>
              <w:t>REGLAMENTO A LA LEY ORGÁNICA PARA LA PLANIFICACIÓN Y DESARROLLO INTEGRAL DE LA CIRCUNSCRIPCIÓN TERRITORIAL ESPECIAL AMAZÓNICA</w:t>
            </w:r>
          </w:p>
          <w:p w14:paraId="2311DC48" w14:textId="77777777" w:rsidR="004444C4" w:rsidRPr="009C3A0E" w:rsidRDefault="004444C4" w:rsidP="004444C4">
            <w:pPr>
              <w:autoSpaceDE w:val="0"/>
              <w:autoSpaceDN w:val="0"/>
              <w:adjustRightInd w:val="0"/>
              <w:jc w:val="both"/>
              <w:rPr>
                <w:rFonts w:ascii="Century Gothic" w:hAnsi="Century Gothic" w:cs="Arial"/>
                <w:b/>
                <w:sz w:val="20"/>
                <w:szCs w:val="20"/>
              </w:rPr>
            </w:pPr>
          </w:p>
          <w:p w14:paraId="7F3C8919" w14:textId="77777777" w:rsidR="004444C4" w:rsidRPr="009C3A0E" w:rsidRDefault="004444C4" w:rsidP="004444C4">
            <w:pPr>
              <w:jc w:val="both"/>
              <w:rPr>
                <w:rFonts w:ascii="Century Gothic" w:hAnsi="Century Gothic" w:cs="Arial"/>
                <w:sz w:val="20"/>
                <w:szCs w:val="20"/>
              </w:rPr>
            </w:pPr>
            <w:r>
              <w:rPr>
                <w:rFonts w:ascii="Century Gothic" w:hAnsi="Century Gothic" w:cs="Arial"/>
                <w:b/>
                <w:sz w:val="20"/>
                <w:szCs w:val="20"/>
              </w:rPr>
              <w:t>Art. 3.-</w:t>
            </w:r>
            <w:r>
              <w:rPr>
                <w:rFonts w:ascii="Century Gothic" w:hAnsi="Century Gothic" w:cs="Arial"/>
                <w:sz w:val="20"/>
                <w:szCs w:val="20"/>
              </w:rPr>
              <w:t xml:space="preserve"> Territorio de la Circunscripción Territorial Especial Amazónica: La Circunscripción Territorial Especial Amazónica comprende el área terrestre de las provincias amazónicas de Morona Santiago, Napo, Orellana, Pastaza, Sucumbíos y Zamora Chinchipe, que incluye áreas pobladas y no pobladas que corresponden geográficamente a la meseta amazónica y a las estribaciones a la Cordillera Oriental de los Andes, los recursos hídricos, fluviales, mineros, el subsuelo del área terrestre, el espacio aéreo y la órbita geoestacionaria. </w:t>
            </w:r>
          </w:p>
          <w:p w14:paraId="50648735" w14:textId="77777777" w:rsidR="004444C4" w:rsidRPr="009C3A0E" w:rsidRDefault="004444C4" w:rsidP="004444C4">
            <w:pPr>
              <w:autoSpaceDE w:val="0"/>
              <w:autoSpaceDN w:val="0"/>
              <w:adjustRightInd w:val="0"/>
              <w:jc w:val="both"/>
              <w:rPr>
                <w:rFonts w:ascii="Century Gothic" w:hAnsi="Century Gothic" w:cs="Arial"/>
                <w:b/>
                <w:sz w:val="20"/>
                <w:szCs w:val="20"/>
              </w:rPr>
            </w:pPr>
          </w:p>
          <w:p w14:paraId="3BA3D14C" w14:textId="77777777" w:rsidR="004444C4" w:rsidRPr="009C3A0E" w:rsidRDefault="004444C4" w:rsidP="004444C4">
            <w:pPr>
              <w:autoSpaceDE w:val="0"/>
              <w:autoSpaceDN w:val="0"/>
              <w:adjustRightInd w:val="0"/>
              <w:jc w:val="both"/>
              <w:rPr>
                <w:rFonts w:ascii="Century Gothic" w:hAnsi="Century Gothic" w:cs="Arial"/>
                <w:b/>
                <w:bCs/>
                <w:sz w:val="20"/>
                <w:szCs w:val="20"/>
              </w:rPr>
            </w:pPr>
          </w:p>
          <w:p w14:paraId="16A130AC" w14:textId="77777777" w:rsidR="004444C4" w:rsidRPr="009C3A0E" w:rsidRDefault="004444C4" w:rsidP="004444C4">
            <w:pPr>
              <w:jc w:val="both"/>
              <w:rPr>
                <w:rFonts w:ascii="Century Gothic" w:hAnsi="Century Gothic" w:cs="Arial"/>
                <w:b/>
                <w:bCs/>
                <w:sz w:val="20"/>
                <w:szCs w:val="20"/>
                <w:lang w:val="es-ES"/>
              </w:rPr>
            </w:pPr>
            <w:r>
              <w:rPr>
                <w:rFonts w:ascii="Century Gothic" w:hAnsi="Century Gothic" w:cs="Arial"/>
                <w:b/>
                <w:bCs/>
                <w:sz w:val="20"/>
                <w:szCs w:val="20"/>
                <w:lang w:val="es-ES"/>
              </w:rPr>
              <w:t>REGLAMENTO A LA LEY ORGÁNICA DEL SISTEMA NACIONAL DE CONTRATACIÓN PÚBLICA –LOSNCP</w:t>
            </w:r>
          </w:p>
          <w:p w14:paraId="40D4E4B7" w14:textId="77777777" w:rsidR="004444C4" w:rsidRPr="009C3A0E" w:rsidRDefault="004444C4" w:rsidP="004444C4">
            <w:pPr>
              <w:autoSpaceDE w:val="0"/>
              <w:autoSpaceDN w:val="0"/>
              <w:adjustRightInd w:val="0"/>
              <w:jc w:val="both"/>
              <w:rPr>
                <w:rFonts w:ascii="Century Gothic" w:hAnsi="Century Gothic" w:cs="Arial"/>
                <w:bCs/>
                <w:sz w:val="20"/>
                <w:szCs w:val="20"/>
              </w:rPr>
            </w:pPr>
          </w:p>
          <w:p w14:paraId="42571D18"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
                <w:bCs/>
                <w:sz w:val="20"/>
                <w:szCs w:val="20"/>
              </w:rPr>
              <w:t>Art. 22.-</w:t>
            </w:r>
            <w:r>
              <w:rPr>
                <w:rFonts w:ascii="Century Gothic" w:hAnsi="Century Gothic" w:cs="Arial"/>
                <w:bCs/>
                <w:sz w:val="20"/>
                <w:szCs w:val="20"/>
              </w:rPr>
              <w:t xml:space="preserve"> </w:t>
            </w:r>
            <w:r>
              <w:rPr>
                <w:rFonts w:ascii="Century Gothic" w:hAnsi="Century Gothic" w:cs="Arial"/>
                <w:bCs/>
                <w:i/>
                <w:sz w:val="20"/>
                <w:szCs w:val="20"/>
              </w:rPr>
              <w:t>Información relevante. - Para efectos de publicidad y política de gobierno</w:t>
            </w:r>
          </w:p>
          <w:p w14:paraId="2303E8AE"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abierto de los procedimientos de contratación en el Portal de Contratación Pública, se entenderá como información relevante la siguiente:</w:t>
            </w:r>
          </w:p>
          <w:p w14:paraId="68020F36"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 Informe de necesidad de la contratación;</w:t>
            </w:r>
          </w:p>
          <w:p w14:paraId="320E66B5"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 Proformas y cotizaciones recibidas en la fase preparatoria para la elaboración del instrumento de determinación del presupuesto referencial;</w:t>
            </w:r>
          </w:p>
          <w:p w14:paraId="6D86EA4B"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 Instrumento de determinación del presupuesto referencial;</w:t>
            </w:r>
          </w:p>
          <w:p w14:paraId="6BD73674"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4. Estudios de desagregación tecnológica, en caso de ser requerido;</w:t>
            </w:r>
          </w:p>
          <w:p w14:paraId="3A51000B"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5. Estudios, diseños o proyectos;</w:t>
            </w:r>
          </w:p>
          <w:p w14:paraId="507B823B"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6. Términos de referencia y/o especificaciones técnicas;</w:t>
            </w:r>
          </w:p>
          <w:p w14:paraId="2D400247"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7. Certificación PAC;</w:t>
            </w:r>
          </w:p>
          <w:p w14:paraId="0BA42667"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8. Certificación presupuestaria;</w:t>
            </w:r>
          </w:p>
          <w:p w14:paraId="3361F145"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9. En los procedimientos de arrendamiento de bienes inmuebles, la respectiva autorización emitida por el ente regulador de gestión inmobiliaria del sector público para el inicio del procedimiento de arrendamiento, en los casos que corresponda; y, prórroga y/o renovación de los contratos, de ser procedente.</w:t>
            </w:r>
          </w:p>
          <w:p w14:paraId="4F71B237"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10. Invitación a proveedores, de ser el caso;</w:t>
            </w:r>
          </w:p>
          <w:p w14:paraId="57CED320" w14:textId="77777777" w:rsidR="004444C4"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11. Pliegos;</w:t>
            </w:r>
          </w:p>
          <w:p w14:paraId="34866916"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12. Resolución de inicio, aprobación de pliegos y de cronograma (convocatoria);</w:t>
            </w:r>
          </w:p>
          <w:p w14:paraId="237A5180"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lastRenderedPageBreak/>
              <w:t>13. Preguntas, respuestas y aclaraciones de los procedimientos de contratación;</w:t>
            </w:r>
          </w:p>
          <w:p w14:paraId="2695738B"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14. Actas (preguntas, respuestas y aclaraciones, apertura de las ofertas; convalidación de errores;</w:t>
            </w:r>
          </w:p>
          <w:p w14:paraId="4E7E5F61"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calificación, y acta de negoción, en los casos que corresponda), y demás documentación precontractual;</w:t>
            </w:r>
          </w:p>
          <w:p w14:paraId="611DFBCE"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15. Informe de evaluación de las ofertas realizado por la Comisión Técnica o el servidor designado para el efecto, en el que se recomiende a la máxima autoridad o su delegado de forma expresa, la adjudicación o la declaratoria de desierto, según sea el caso;</w:t>
            </w:r>
          </w:p>
          <w:p w14:paraId="5651F96F"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16. Oficios y comunicaciones remitidos por el SERCOP respecto a las acciones de supervisión y control realizados a procedimientos de contratación;</w:t>
            </w:r>
          </w:p>
          <w:p w14:paraId="21DAEADF"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17. Resolución de adjudicación o declaratoria de desierto o cancelación;</w:t>
            </w:r>
          </w:p>
          <w:p w14:paraId="667134CA"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18. Oferta del oferente ganador, la cual será publicada conjuntamente con la calificación de</w:t>
            </w:r>
          </w:p>
          <w:p w14:paraId="20032A09"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ofertas, o con la adjudicación en el caso de subasta inversa electrónica, u otros procedimientos que defina el SERCOP;</w:t>
            </w:r>
          </w:p>
          <w:p w14:paraId="34707064"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19. De ser el caso, la resolución de declaratoria de adjudicatario fallido, y la respectiva notificación;</w:t>
            </w:r>
          </w:p>
          <w:p w14:paraId="58946CFD"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20. Reclamos o recursos presentados;</w:t>
            </w:r>
          </w:p>
          <w:p w14:paraId="51261CBF"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21. La resolución o pronunciamiento final de los reclamos o recursos presentados;</w:t>
            </w:r>
          </w:p>
          <w:p w14:paraId="3E29A860"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22. Contrato y su protocolización, de ser el caso, y los documentos que acrediten la calidad de los comparecientes;</w:t>
            </w:r>
          </w:p>
          <w:p w14:paraId="5F2D2E4F"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23. Garantías;</w:t>
            </w:r>
          </w:p>
          <w:p w14:paraId="635678D2"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24. Contratos complementarios, modificatorios, o adendas modificatorias, de haberse suscrito;</w:t>
            </w:r>
          </w:p>
          <w:p w14:paraId="0765EE41"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25. Documento de aprobación de la entidad contratante para la subcontratación, en los casos que corresponda;</w:t>
            </w:r>
          </w:p>
          <w:p w14:paraId="6C71DE8B"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26. Actas y documentos relacionados con la suspensión y prórrogas del contrato;</w:t>
            </w:r>
          </w:p>
          <w:p w14:paraId="67737DC5"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27. Comunicaciones al contratista respecto de la aplicación de multas u otras sanciones; y, acto administrativo de multa o sanción;</w:t>
            </w:r>
          </w:p>
          <w:p w14:paraId="54ACD165"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28. Cronogramas de ejecución de actividades contractuales y de pagos;</w:t>
            </w:r>
          </w:p>
          <w:p w14:paraId="04E9FFF0"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29. Comprobante de pagos realizados;</w:t>
            </w:r>
          </w:p>
          <w:p w14:paraId="200C5169"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30. Informe previo a la recepción provisional y final, de ser el caso, actas de entrega recepción, o actos administrativos relacionados con la terminación del contrato;</w:t>
            </w:r>
          </w:p>
          <w:p w14:paraId="139BFDF7"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31. En caso de terminar unilateralmente el contrato, se deberá publicar la siguiente documentación:</w:t>
            </w:r>
          </w:p>
          <w:p w14:paraId="626AB7E2"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a) Informes técnico, económico y jurídico;</w:t>
            </w:r>
          </w:p>
          <w:p w14:paraId="331D3A0F"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b) Notificación de la decisión de terminación unilateral;</w:t>
            </w:r>
          </w:p>
          <w:p w14:paraId="03492CF1"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 Resolución de terminación unilateral del contrato; y,</w:t>
            </w:r>
          </w:p>
          <w:p w14:paraId="294DC4B6"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 Notificación de la resolución de terminación unilateral del contrato realizada al menos</w:t>
            </w:r>
          </w:p>
          <w:p w14:paraId="27804593"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por uno de los medios aceptados por la normativa vigente;</w:t>
            </w:r>
          </w:p>
          <w:p w14:paraId="7EF9DF81"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32. En caso de terminar el contrato por mutuo acuerdo, se publicará el acuerdo de terminación</w:t>
            </w:r>
          </w:p>
          <w:p w14:paraId="53006687"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de mutuo acuerdo del contrato, así como los informes técnicos y económicos</w:t>
            </w:r>
          </w:p>
          <w:p w14:paraId="516A1CE3"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correspondientes;</w:t>
            </w:r>
          </w:p>
          <w:p w14:paraId="6EE3141E"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33. Certificado de cumplimiento otorgado por la UAFE, y presentado por el contratista en la fase contractual, cuando sea el caso;</w:t>
            </w:r>
          </w:p>
          <w:p w14:paraId="1887B312" w14:textId="77777777" w:rsidR="004444C4" w:rsidRPr="00B137A1"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34. En los procedimientos de contratación para la ejecución de obras se publicará, además: orden de inicio de trabajos; órdenes de cambio y diferencias en cantidades de obras, diferencias de rubros existentes o creación de rubros nuevos; certificación de disponibilidad presupuestaria, de ser el caso; y, decisiones adoptadas por la Junta de Resolución de Disputas cuando sea procedente; y,</w:t>
            </w:r>
          </w:p>
          <w:p w14:paraId="28ED69DF" w14:textId="77777777" w:rsidR="004444C4"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35. Cualquier documento adicional que la entidad contratante considere pertinente.</w:t>
            </w:r>
          </w:p>
          <w:p w14:paraId="3703498F" w14:textId="77777777" w:rsidR="004444C4" w:rsidRPr="00B137A1" w:rsidRDefault="004444C4" w:rsidP="004444C4">
            <w:pPr>
              <w:autoSpaceDE w:val="0"/>
              <w:autoSpaceDN w:val="0"/>
              <w:adjustRightInd w:val="0"/>
              <w:jc w:val="both"/>
              <w:rPr>
                <w:rFonts w:ascii="Century Gothic" w:hAnsi="Century Gothic" w:cs="Arial"/>
                <w:bCs/>
                <w:i/>
                <w:sz w:val="20"/>
                <w:szCs w:val="20"/>
              </w:rPr>
            </w:pPr>
          </w:p>
          <w:p w14:paraId="1429B99C" w14:textId="77777777" w:rsidR="004444C4"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 información relativa a los proveedores invitados será generada por el propio sistema y se mantendrá disponible de manera pública en el Portal de Contratación Pública.</w:t>
            </w:r>
          </w:p>
          <w:p w14:paraId="1FC2542A" w14:textId="77777777" w:rsidR="004444C4" w:rsidRPr="00B137A1" w:rsidRDefault="004444C4" w:rsidP="004444C4">
            <w:pPr>
              <w:autoSpaceDE w:val="0"/>
              <w:autoSpaceDN w:val="0"/>
              <w:adjustRightInd w:val="0"/>
              <w:jc w:val="both"/>
              <w:rPr>
                <w:rFonts w:ascii="Century Gothic" w:hAnsi="Century Gothic" w:cs="Arial"/>
                <w:bCs/>
                <w:i/>
                <w:sz w:val="20"/>
                <w:szCs w:val="20"/>
              </w:rPr>
            </w:pPr>
          </w:p>
          <w:p w14:paraId="7D239576" w14:textId="77777777" w:rsidR="004444C4"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Cualquier actuación administrativa que se efectúe por delegación, deberá contener la mención expresa del instrumento que otorgó la delegación y por el cual se actúa.</w:t>
            </w:r>
          </w:p>
          <w:p w14:paraId="5929D7A3" w14:textId="77777777" w:rsidR="004444C4" w:rsidRPr="00B137A1" w:rsidRDefault="004444C4" w:rsidP="004444C4">
            <w:pPr>
              <w:autoSpaceDE w:val="0"/>
              <w:autoSpaceDN w:val="0"/>
              <w:adjustRightInd w:val="0"/>
              <w:jc w:val="both"/>
              <w:rPr>
                <w:rFonts w:ascii="Century Gothic" w:hAnsi="Century Gothic" w:cs="Arial"/>
                <w:bCs/>
                <w:i/>
                <w:sz w:val="20"/>
                <w:szCs w:val="20"/>
              </w:rPr>
            </w:pPr>
          </w:p>
          <w:p w14:paraId="35426726" w14:textId="77777777" w:rsidR="004444C4"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Toda la información relacionada con la fase contractual deberá publicarse, preferentemente, en el momento que se genere y suscriba la documentación relevante.</w:t>
            </w:r>
          </w:p>
          <w:p w14:paraId="4F7BFBF7" w14:textId="77777777" w:rsidR="004444C4" w:rsidRPr="00B137A1" w:rsidRDefault="004444C4" w:rsidP="004444C4">
            <w:pPr>
              <w:autoSpaceDE w:val="0"/>
              <w:autoSpaceDN w:val="0"/>
              <w:adjustRightInd w:val="0"/>
              <w:jc w:val="both"/>
              <w:rPr>
                <w:rFonts w:ascii="Century Gothic" w:hAnsi="Century Gothic" w:cs="Arial"/>
                <w:bCs/>
                <w:i/>
                <w:sz w:val="20"/>
                <w:szCs w:val="20"/>
              </w:rPr>
            </w:pPr>
          </w:p>
          <w:p w14:paraId="627E006E" w14:textId="77777777" w:rsidR="004444C4"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lastRenderedPageBreak/>
              <w:t xml:space="preserve">El Servicio Nacional de Contratación Pública podrá calificar otros documentos como información relevante que deberá ser publicada en el Portal.</w:t>
            </w:r>
          </w:p>
          <w:p w14:paraId="16E363AA" w14:textId="77777777" w:rsidR="004444C4" w:rsidRPr="00B137A1" w:rsidRDefault="004444C4" w:rsidP="004444C4">
            <w:pPr>
              <w:autoSpaceDE w:val="0"/>
              <w:autoSpaceDN w:val="0"/>
              <w:adjustRightInd w:val="0"/>
              <w:jc w:val="both"/>
              <w:rPr>
                <w:rFonts w:ascii="Century Gothic" w:hAnsi="Century Gothic" w:cs="Arial"/>
                <w:bCs/>
                <w:i/>
                <w:sz w:val="20"/>
                <w:szCs w:val="20"/>
              </w:rPr>
            </w:pPr>
          </w:p>
          <w:p w14:paraId="2C733339" w14:textId="77777777" w:rsidR="004444C4"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Las actuaciones registradas en el Portal de Contratación Pública tendrán plena validez jurídica y valor probatorio.</w:t>
            </w:r>
          </w:p>
          <w:p w14:paraId="5A80C99A" w14:textId="77777777" w:rsidR="004444C4" w:rsidRPr="00B137A1" w:rsidRDefault="004444C4" w:rsidP="004444C4">
            <w:pPr>
              <w:autoSpaceDE w:val="0"/>
              <w:autoSpaceDN w:val="0"/>
              <w:adjustRightInd w:val="0"/>
              <w:jc w:val="both"/>
              <w:rPr>
                <w:rFonts w:ascii="Century Gothic" w:hAnsi="Century Gothic" w:cs="Arial"/>
                <w:bCs/>
                <w:i/>
                <w:sz w:val="20"/>
                <w:szCs w:val="20"/>
              </w:rPr>
            </w:pPr>
          </w:p>
          <w:p w14:paraId="19C3061E" w14:textId="77777777" w:rsidR="004444C4" w:rsidRDefault="004444C4" w:rsidP="004444C4">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Es obligación de la entidad contratante el cumplimiento del cronograma establecido en el Portal de Contratación Pública, durante la fase precontractual, así como la publicación de la información de las otras fases de la contratación conforme lo previsto en el presente Reglamento.</w:t>
            </w:r>
          </w:p>
          <w:p w14:paraId="69CE7953" w14:textId="77777777" w:rsidR="004444C4" w:rsidRPr="009C3A0E" w:rsidRDefault="004444C4" w:rsidP="004444C4">
            <w:pPr>
              <w:autoSpaceDE w:val="0"/>
              <w:autoSpaceDN w:val="0"/>
              <w:adjustRightInd w:val="0"/>
              <w:jc w:val="both"/>
              <w:rPr>
                <w:rFonts w:ascii="Century Gothic" w:hAnsi="Century Gothic" w:cs="Arial"/>
                <w:bCs/>
                <w:sz w:val="20"/>
                <w:szCs w:val="20"/>
              </w:rPr>
            </w:pPr>
          </w:p>
          <w:p w14:paraId="3111497C" w14:textId="77777777" w:rsidR="004444C4" w:rsidRPr="00596946" w:rsidRDefault="004444C4" w:rsidP="004444C4">
            <w:pPr>
              <w:autoSpaceDE w:val="0"/>
              <w:autoSpaceDN w:val="0"/>
              <w:adjustRightInd w:val="0"/>
              <w:jc w:val="both"/>
              <w:rPr>
                <w:rFonts w:ascii="Century Gothic" w:hAnsi="Century Gothic" w:cs="Calibri"/>
                <w:color w:val="000000"/>
                <w:sz w:val="20"/>
                <w:szCs w:val="20"/>
                <w:lang w:eastAsia="es-EC"/>
              </w:rPr>
            </w:pPr>
            <w:r>
              <w:rPr>
                <w:rFonts w:ascii="Century Gothic" w:hAnsi="Century Gothic" w:cs="Arial"/>
                <w:b/>
                <w:bCs/>
                <w:sz w:val="20"/>
                <w:szCs w:val="20"/>
              </w:rPr>
              <w:t>Art. 76.-</w:t>
            </w:r>
            <w:r>
              <w:rPr>
                <w:rFonts w:ascii="Century Gothic" w:hAnsi="Century Gothic" w:cs="Arial"/>
                <w:bCs/>
                <w:sz w:val="20"/>
                <w:szCs w:val="20"/>
              </w:rPr>
              <w:t xml:space="preserve"> </w:t>
            </w:r>
            <w:r>
              <w:rPr>
                <w:rFonts w:ascii="Century Gothic" w:hAnsi="Century Gothic" w:cs="Calibri"/>
                <w:color w:val="000000"/>
                <w:sz w:val="20"/>
                <w:szCs w:val="20"/>
                <w:lang w:eastAsia="es-EC"/>
              </w:rPr>
              <w:t>Formulación de las especificaciones técnicas y términos de referencia. – Antes de iniciar un procedimiento de contratación pública, la entidad contratante deberá contar con las especificaciones técnicas de los bienes o rubros requeridos; o, los términos de referencia para servicios, incluidos los de consultoría, de conformidad con lo que establezcan los análisis, diseños, diagnósticos, o estudios con los que, como condición previa, debe contar la entidad contratante.</w:t>
            </w:r>
          </w:p>
          <w:p w14:paraId="7F3CD5D6" w14:textId="77777777" w:rsidR="004444C4" w:rsidRPr="00596946" w:rsidRDefault="004444C4" w:rsidP="004444C4">
            <w:pPr>
              <w:autoSpaceDE w:val="0"/>
              <w:autoSpaceDN w:val="0"/>
              <w:adjustRightInd w:val="0"/>
              <w:jc w:val="both"/>
              <w:rPr>
                <w:rFonts w:ascii="Century Gothic" w:hAnsi="Century Gothic" w:cs="Calibri"/>
                <w:color w:val="000000"/>
                <w:sz w:val="20"/>
                <w:szCs w:val="20"/>
                <w:lang w:eastAsia="es-EC"/>
              </w:rPr>
            </w:pPr>
          </w:p>
          <w:p w14:paraId="5BE470FF" w14:textId="77777777" w:rsidR="004444C4" w:rsidRPr="00596946" w:rsidRDefault="004444C4" w:rsidP="004444C4">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Se entenderá como especificación técnica, a las características fundamentales que deberán cumplir los bienes o rubros requeridos, mientras que los términos de referencia constituirán las condiciones específicas bajo las cuales se desarrollará la consultoría o se prestarán los servicios. La contratación de servicios incluido consultoría estará sujeta a la formulación de términos de referencia. No obstante, atendiendo a la naturaleza del servicio requerido, se podrán incorporar adicionalmente especificaciones técnicas relativas a los bienes necesarios para su ejecución, siempre y cuando no se modifique el objeto de contratación, por tanto, esta variación solo podrá repotenciar o mejorar el objeto de contratación previamente delimitado. </w:t>
            </w:r>
          </w:p>
          <w:p w14:paraId="65CFC305"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
                <w:bCs/>
                <w:sz w:val="20"/>
                <w:szCs w:val="20"/>
              </w:rPr>
              <w:t>Art. 77.-</w:t>
            </w:r>
            <w:r>
              <w:rPr>
                <w:rFonts w:ascii="Century Gothic" w:hAnsi="Century Gothic" w:cs="Arial"/>
                <w:bCs/>
                <w:sz w:val="20"/>
                <w:szCs w:val="20"/>
              </w:rPr>
              <w:t xml:space="preserve"> Especificaciones técnicas. - Para la elaboración de las especificaciones técnicas se considerará lo siguiente:</w:t>
            </w:r>
          </w:p>
          <w:p w14:paraId="6E799598"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Deben ser claras, completas e inequívocas; no deben presentar ambigüedades, ni contradicciones que puedan propiciar diferentes interpretaciones en una misma disposición, ni indicaciones parciales.</w:t>
            </w:r>
          </w:p>
          <w:p w14:paraId="496CCEF2"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1. Para el caso de bienes, se establecerán en función de las propiedades de su uso y empleo, así como de sus características fundamentales, requisitos funcionales o tecnológicos, atendiendo los conceptos de capacidad, calidad y/o rendimiento, y de sostenibilidad en lo que fuera aplicable, para los que, de existir, se utilizarán rasgos técnicos, requisitos, símbolos y términos estandarizados;</w:t>
            </w:r>
          </w:p>
          <w:p w14:paraId="6E4BF4F3"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2. No se podrá hacer referencia a marcas de fábrica o de comercio, nombres o tipos comerciales, patentes, derechos de autor, diseños o tipos particulares, ni a determinados orígenes, productores o proveedores. Excepcionalmente, y de manera justificada, se podrá hacer dichas referencias para: la adquisición de repuestos o accesorios; y, en las contrataciones que impliquen el desarrollo o mejora de tecnologías ya existentes en la entidad contratante, como la utilización de patentes o marcas exclusivas o tecnologías que no admitan otras alternativas técnicas, en los casos que sea aplicable, la entidad hará constar en el pliego la expresión "o equivalente" u otra similar;</w:t>
            </w:r>
          </w:p>
          <w:p w14:paraId="730102B7"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En este caso, la entidad contratante deberá publicar la información respecto a la tecnológica existente y/o maquinaria, la cual deberá plasmarse en un informe técnico debidamente suscrito, el cual será publicado como información relevante.</w:t>
            </w:r>
          </w:p>
          <w:p w14:paraId="08D20AD0"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3. Para el caso de obras, se establecerán para cada uno de los rubros y materiales del proyecto, atendiendo los aspectos de diseño y constructivos. Exceptúese de esta disposición, los contratos de obra bajo la modalidad ingeniería, procura y construcción donde las especificaciones técnicas se basarán solamente en las normas o reglamentos técnicos nacionales, y en ausencia de estos, en los instrumentos internacionales similares, en lo que fuera aplicable.</w:t>
            </w:r>
          </w:p>
          <w:p w14:paraId="7CF5896D"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4. Las especificaciones técnicas se basarán en las normas o reglamentos técnicos nacionales, y en ausencia de estos, en los instrumentos internacionales similares, en lo que fuera aplicable;</w:t>
            </w:r>
          </w:p>
          <w:p w14:paraId="72A61FD1"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lastRenderedPageBreak/>
              <w:t>5. No se podrá establecer o exigir especificaciones, condicionamientos o requerimientos técnicos que no pueda cumplir la oferta nacional, salvo justificación funcional debidamente motivada; y,</w:t>
            </w:r>
          </w:p>
          <w:p w14:paraId="6A1F93A1"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6. Las especificaciones técnicas se establecerán con relación exclusiva a los bienes o rubros de obras integrantes del objeto del procedimiento y no con relación a los proveedores.</w:t>
            </w:r>
          </w:p>
          <w:p w14:paraId="586F6752"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7. Las especificaciones técnicas deberán contener como mínimo en el caso de que corresponda los siguiente:</w:t>
            </w:r>
          </w:p>
          <w:p w14:paraId="44DB9AD7"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a) Alcance;</w:t>
            </w:r>
          </w:p>
          <w:p w14:paraId="37D01315"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b) Plazo de ejecución: parciales y/o total;</w:t>
            </w:r>
          </w:p>
          <w:p w14:paraId="4478D276"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c) Personal técnico/equipo de trabajo/recursos según corresponda, y de ser pertinente;</w:t>
            </w:r>
          </w:p>
          <w:p w14:paraId="6A2EDDCB"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d) Forma y condiciones de pago;</w:t>
            </w:r>
          </w:p>
          <w:p w14:paraId="22FFA84A"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e) Lugar de entrega;</w:t>
            </w:r>
          </w:p>
          <w:p w14:paraId="44E7D5CE"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f) Multas;</w:t>
            </w:r>
          </w:p>
          <w:p w14:paraId="0D021F26"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g) Obligaciones de las partes;</w:t>
            </w:r>
          </w:p>
          <w:p w14:paraId="2571AA15"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h) Garantías técnicas, en el caso que aplique; y,</w:t>
            </w:r>
          </w:p>
          <w:p w14:paraId="1496A0BA" w14:textId="77777777" w:rsidR="004444C4" w:rsidRPr="006C4F8B" w:rsidRDefault="004444C4" w:rsidP="004444C4">
            <w:pPr>
              <w:spacing w:before="240"/>
              <w:jc w:val="both"/>
              <w:rPr>
                <w:rFonts w:ascii="Century Gothic" w:hAnsi="Century Gothic" w:cs="Arial"/>
                <w:bCs/>
                <w:sz w:val="20"/>
                <w:szCs w:val="20"/>
              </w:rPr>
            </w:pPr>
            <w:r>
              <w:rPr>
                <w:rFonts w:ascii="Century Gothic" w:hAnsi="Century Gothic" w:cs="Arial"/>
                <w:bCs/>
                <w:sz w:val="20"/>
                <w:szCs w:val="20"/>
              </w:rPr>
              <w:t>i) Parámetros evaluación y calificación según corresponda”.</w:t>
            </w:r>
          </w:p>
          <w:p w14:paraId="1AD86412" w14:textId="042A85AF" w:rsidR="00E87565" w:rsidRDefault="00E87565" w:rsidP="00E70E45">
            <w:pPr>
              <w:spacing w:before="240"/>
              <w:jc w:val="both"/>
              <w:rPr>
                <w:rFonts w:ascii="Century Gothic" w:hAnsi="Century Gothic" w:cs="Arial"/>
                <w:bCs/>
                <w:i/>
                <w:sz w:val="20"/>
                <w:szCs w:val="20"/>
              </w:rPr>
            </w:pPr>
            <w:r>
              <w:rPr>
                <w:rFonts w:ascii="Century Gothic" w:hAnsi="Century Gothic" w:cs="Arial"/>
                <w:b/>
                <w:bCs/>
                <w:sz w:val="20"/>
                <w:szCs w:val="20"/>
              </w:rPr>
              <w:t xml:space="preserve">Art. 257</w:t>
            </w:r>
            <w:r>
              <w:rPr>
                <w:rFonts w:ascii="Century Gothic" w:hAnsi="Century Gothic" w:cs="Arial"/>
                <w:bCs/>
                <w:sz w:val="20"/>
                <w:szCs w:val="20"/>
              </w:rPr>
              <w:t xml:space="preserve">.- Contratación por subasta inversa. - Se realizará cuando las entidades contratantes requieran adquirir bienes y servicios estandarizados, cuya cuantía sea superior a los diez mil dólares de los Estados Unidos de América (USD $10.000), no puedan contratarse a través del procedimiento de catálogo electrónico, y cuando el precio más bajo, y ningún otro atributo, representa el mejor valor por dinero en la adquisición del bien y/o servicio.</w:t>
            </w:r>
            <w:r>
              <w:rPr>
                <w:rFonts w:ascii="Century Gothic" w:hAnsi="Century Gothic" w:cs="Arial"/>
                <w:bCs/>
                <w:i/>
                <w:sz w:val="20"/>
                <w:szCs w:val="20"/>
              </w:rPr>
              <w:t xml:space="preserve"> </w:t>
            </w:r>
          </w:p>
          <w:p w14:paraId="7A83D91B" w14:textId="2DB93524" w:rsidR="00E87565" w:rsidRDefault="00E87565" w:rsidP="00E87565">
            <w:pPr>
              <w:jc w:val="both"/>
              <w:rPr>
                <w:rFonts w:ascii="Century Gothic" w:hAnsi="Century Gothic" w:cs="Arial"/>
                <w:b/>
                <w:bCs/>
                <w:sz w:val="20"/>
                <w:szCs w:val="20"/>
                <w:highlight w:val="yellow"/>
              </w:rPr>
            </w:pPr>
          </w:p>
          <w:p w14:paraId="57E8868B" w14:textId="6466A9AF" w:rsidR="00A76227" w:rsidRPr="00A70C58" w:rsidRDefault="00A76227" w:rsidP="00A76227">
            <w:pPr>
              <w:jc w:val="both"/>
              <w:rPr>
                <w:rFonts w:ascii="Century Gothic" w:hAnsi="Century Gothic" w:cs="Arial"/>
                <w:bCs/>
                <w:sz w:val="20"/>
                <w:szCs w:val="20"/>
              </w:rPr>
            </w:pPr>
            <w:r>
              <w:rPr>
                <w:rFonts w:ascii="Century Gothic" w:hAnsi="Century Gothic" w:cs="Arial"/>
                <w:b/>
                <w:bCs/>
                <w:sz w:val="20"/>
                <w:szCs w:val="20"/>
              </w:rPr>
              <w:t xml:space="preserve">Art. 258.-</w:t>
            </w:r>
            <w:r>
              <w:rPr>
                <w:rFonts w:ascii="Century Gothic" w:hAnsi="Century Gothic" w:cs="Arial"/>
                <w:bCs/>
                <w:sz w:val="20"/>
                <w:szCs w:val="20"/>
              </w:rPr>
              <w:t xml:space="preserve"> Reglas comunes. - Toda subasta inversa deberá cumplir con las siguientes reglas comunes:</w:t>
            </w:r>
          </w:p>
          <w:p w14:paraId="705DDE4A" w14:textId="77777777" w:rsidR="00A76227" w:rsidRPr="00A70C58" w:rsidRDefault="00A76227" w:rsidP="00A76227">
            <w:pPr>
              <w:jc w:val="both"/>
              <w:rPr>
                <w:rFonts w:ascii="Century Gothic" w:hAnsi="Century Gothic" w:cs="Arial"/>
                <w:bCs/>
                <w:sz w:val="20"/>
                <w:szCs w:val="20"/>
              </w:rPr>
            </w:pPr>
          </w:p>
          <w:p w14:paraId="21C893FC" w14:textId="2CABDF92"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1. No se podrá contratar bajo este procedimiento la ejecución de obras civiles como trabajos de mantenimiento, reparaciones, remodelación de infraestructuras y cualquier otra obra de</w:t>
            </w:r>
          </w:p>
          <w:p w14:paraId="26E1E777" w14:textId="58ACB602"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naturaleza similar;</w:t>
            </w:r>
          </w:p>
          <w:p w14:paraId="74CF5FFD" w14:textId="77777777" w:rsidR="00A76227" w:rsidRPr="00A70C58" w:rsidRDefault="00A76227" w:rsidP="00A76227">
            <w:pPr>
              <w:jc w:val="both"/>
              <w:rPr>
                <w:rFonts w:ascii="Century Gothic" w:hAnsi="Century Gothic" w:cs="Arial"/>
                <w:bCs/>
                <w:sz w:val="20"/>
                <w:szCs w:val="20"/>
              </w:rPr>
            </w:pPr>
          </w:p>
          <w:p w14:paraId="29386BCF" w14:textId="380AD3B4"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2. No se podrá agrupar ítems o productos de distintas características que no se relacionen al objeto de contratación para restringir la participación de proveedores;</w:t>
            </w:r>
          </w:p>
          <w:p w14:paraId="4BEBD6D8" w14:textId="3702C628"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3. Las vinculaciones que se puedan detectar entre oferentes serán identificadas por la entidad contratante o el Servicio Nacional de Contratación Pública y notificadas a los entes de control competentes;</w:t>
            </w:r>
          </w:p>
          <w:p w14:paraId="0078C5A0" w14:textId="77777777" w:rsidR="00A76227" w:rsidRPr="00A70C58" w:rsidRDefault="00A76227" w:rsidP="00A76227">
            <w:pPr>
              <w:jc w:val="both"/>
              <w:rPr>
                <w:rFonts w:ascii="Century Gothic" w:hAnsi="Century Gothic" w:cs="Arial"/>
                <w:bCs/>
                <w:sz w:val="20"/>
                <w:szCs w:val="20"/>
              </w:rPr>
            </w:pPr>
          </w:p>
          <w:p w14:paraId="38084259" w14:textId="3DA6B00B"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4. El Servicio Nacional de Contratación Pública podrá suspender automáticamente de forma temporal el procedimiento hasta realizar el control respectivo, si no existe la cantidad de oferentes habilitados para la puja;</w:t>
            </w:r>
          </w:p>
          <w:p w14:paraId="3EBC620C" w14:textId="77777777" w:rsidR="00A76227" w:rsidRPr="00A70C58" w:rsidRDefault="00A76227" w:rsidP="00A76227">
            <w:pPr>
              <w:jc w:val="both"/>
              <w:rPr>
                <w:rFonts w:ascii="Century Gothic" w:hAnsi="Century Gothic" w:cs="Arial"/>
                <w:bCs/>
                <w:sz w:val="20"/>
                <w:szCs w:val="20"/>
              </w:rPr>
            </w:pPr>
          </w:p>
          <w:p w14:paraId="2FE62EE5" w14:textId="5C0A4E35"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5. El presupuesto referencial de toda subasta inversa será visible;</w:t>
            </w:r>
          </w:p>
          <w:p w14:paraId="12673E05" w14:textId="77777777" w:rsidR="00A76227" w:rsidRPr="00A70C58" w:rsidRDefault="00A76227" w:rsidP="00A76227">
            <w:pPr>
              <w:jc w:val="both"/>
              <w:rPr>
                <w:rFonts w:ascii="Century Gothic" w:hAnsi="Century Gothic" w:cs="Arial"/>
                <w:bCs/>
                <w:sz w:val="20"/>
                <w:szCs w:val="20"/>
              </w:rPr>
            </w:pPr>
          </w:p>
          <w:p w14:paraId="734970DD" w14:textId="413F08B1"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6. Los parámetros de calificación se sujetarán al principio de selección objetiva, que consiste en que las especificaciones técnicas o términos de referencia, según corresponda, así como las reglas de participación se enfocarán exclusivamente en el bien o servicio. En ningún caso se solicitará la acreditación de requisitos relacionados al sujeto;</w:t>
            </w:r>
          </w:p>
          <w:p w14:paraId="2A3D527B" w14:textId="77777777" w:rsidR="00A76227" w:rsidRPr="00A70C58" w:rsidRDefault="00A76227" w:rsidP="00A76227">
            <w:pPr>
              <w:jc w:val="both"/>
              <w:rPr>
                <w:rFonts w:ascii="Century Gothic" w:hAnsi="Century Gothic" w:cs="Arial"/>
                <w:bCs/>
                <w:sz w:val="20"/>
                <w:szCs w:val="20"/>
              </w:rPr>
            </w:pPr>
          </w:p>
          <w:p w14:paraId="2BCF6140" w14:textId="74F3D5A3"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7. En caso de haber una puja, si la oferta económica del mejor postor no fuese inferior al cinco por ciento (5%) del presupuesto referencial de la subasta inversa convocada, la entidad contratante deberá negociar el valor de la oferta económica con el proveedor que resultare ganador de la puja;</w:t>
            </w:r>
          </w:p>
          <w:p w14:paraId="4957B35E" w14:textId="77777777" w:rsidR="00A76227" w:rsidRPr="00A70C58" w:rsidRDefault="00A76227" w:rsidP="00A76227">
            <w:pPr>
              <w:jc w:val="both"/>
              <w:rPr>
                <w:rFonts w:ascii="Century Gothic" w:hAnsi="Century Gothic" w:cs="Arial"/>
                <w:bCs/>
                <w:sz w:val="20"/>
                <w:szCs w:val="20"/>
              </w:rPr>
            </w:pPr>
          </w:p>
          <w:p w14:paraId="267619A4" w14:textId="3A489646"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8. En todos los casos, la oferta económica ganadora de la puja será inferior al menos en un 5% del presupuesto referencial.</w:t>
            </w:r>
          </w:p>
          <w:p w14:paraId="0DB9CD41" w14:textId="77777777" w:rsidR="00A76227" w:rsidRPr="00A70C58" w:rsidRDefault="00A76227" w:rsidP="00A76227">
            <w:pPr>
              <w:jc w:val="both"/>
              <w:rPr>
                <w:rFonts w:ascii="Century Gothic" w:hAnsi="Century Gothic" w:cs="Arial"/>
                <w:bCs/>
                <w:sz w:val="20"/>
                <w:szCs w:val="20"/>
              </w:rPr>
            </w:pPr>
          </w:p>
          <w:p w14:paraId="28C9C42D" w14:textId="7D1D378B"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9. En la subasta inversa las preferencias a bienes y servicios se aplicarán sin que para el efecto se produzca una reserva de mercado, pudiendo ofertar en la puja hacia la baja cualquier tipo de proveedor. En consecuencia, el Portal de Contratación Pública aplicará los márgenes de preferencia correspondientes al precio ofertado, generando un precio comparativo ajustado. La adjudicación se realizará al oferente que presente el precio ajustado más bajo, sin alterar el precio real adjudicado. Los márgenes de preferencia serán fijados expresamente por el SERCOP.</w:t>
            </w:r>
          </w:p>
          <w:p w14:paraId="64E8D697" w14:textId="77777777" w:rsidR="00A76227" w:rsidRPr="00A70C58" w:rsidRDefault="00A76227" w:rsidP="00A76227">
            <w:pPr>
              <w:jc w:val="both"/>
              <w:rPr>
                <w:rFonts w:ascii="Century Gothic" w:hAnsi="Century Gothic" w:cs="Arial"/>
                <w:bCs/>
                <w:sz w:val="20"/>
                <w:szCs w:val="20"/>
              </w:rPr>
            </w:pPr>
          </w:p>
          <w:p w14:paraId="5D94897C" w14:textId="487AD607"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 xml:space="preserve">10. Las entidades contratantes deberán garantizar que en las subastas inversas electrónicas, sen apliquen condiciones de participación equitativas a todos los oferentes, a fin de que se cuente con mayor participación y por tanto se realicen mayor número de pujas, sin que los pliegos exijan documentos adicionales que puedan limitar la participación de mayor número de oferentes.</w:t>
            </w:r>
          </w:p>
          <w:p w14:paraId="2B71A163" w14:textId="77777777" w:rsidR="00F372AD" w:rsidRPr="00A70C58" w:rsidRDefault="00F372AD" w:rsidP="00A76227">
            <w:pPr>
              <w:jc w:val="both"/>
              <w:rPr>
                <w:rFonts w:ascii="Century Gothic" w:hAnsi="Century Gothic" w:cs="Arial"/>
                <w:bCs/>
                <w:sz w:val="20"/>
                <w:szCs w:val="20"/>
              </w:rPr>
            </w:pPr>
          </w:p>
          <w:p w14:paraId="71729FA5" w14:textId="6F93EC83"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 xml:space="preserve">11. Los informes y actas de calificación contendrán todos los sustentos jurídicos, técnicos y comerciales que justifiquen satisfactoriamente la descalificación de las ofertas, que a criterio de las entidades contratantes no cumplan con lo requerido en el pliego. Por lo cual deberá procurarse que existan al menos dos ofertas calificadas para que pueda realizarse efectivamente la puja, principal objetivo de la subasta inversa electrónica.</w:t>
            </w:r>
          </w:p>
          <w:p w14:paraId="18E54D16" w14:textId="77777777" w:rsidR="00F372AD" w:rsidRPr="00A70C58" w:rsidRDefault="00F372AD" w:rsidP="00A76227">
            <w:pPr>
              <w:jc w:val="both"/>
              <w:rPr>
                <w:rFonts w:ascii="Century Gothic" w:hAnsi="Century Gothic" w:cs="Arial"/>
                <w:bCs/>
                <w:sz w:val="20"/>
                <w:szCs w:val="20"/>
              </w:rPr>
            </w:pPr>
          </w:p>
          <w:p w14:paraId="644CF494" w14:textId="04A1550D"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 xml:space="preserve">12. Las subastas inversas electrónicas que terminen en negociación, serán las principales contrataciones en las que las entidades de control verifiquen las especificaciones técnicas o términos de referencia, pliegos, calificaciones, miembros de la comisión técnica y el número de veces que dichos miembros han descalificado a participantes para realizar una negociación, acta e informe de la negociación, y otros elementos que contravengan a los principios del Sistema Nacional de Contratación Pública.</w:t>
            </w:r>
          </w:p>
          <w:p w14:paraId="3C487C1C" w14:textId="77777777" w:rsidR="00142417" w:rsidRPr="00A70C58" w:rsidRDefault="00142417" w:rsidP="00A76227">
            <w:pPr>
              <w:jc w:val="both"/>
              <w:rPr>
                <w:rFonts w:ascii="Century Gothic" w:hAnsi="Century Gothic" w:cs="Arial"/>
                <w:bCs/>
                <w:sz w:val="20"/>
                <w:szCs w:val="20"/>
              </w:rPr>
            </w:pPr>
          </w:p>
          <w:p w14:paraId="35387F65" w14:textId="2C41689E" w:rsidR="00A76227" w:rsidRPr="00A70C58" w:rsidRDefault="00A76227" w:rsidP="00A76227">
            <w:pPr>
              <w:jc w:val="both"/>
              <w:rPr>
                <w:rFonts w:ascii="Century Gothic" w:hAnsi="Century Gothic" w:cs="Arial"/>
                <w:bCs/>
                <w:sz w:val="20"/>
                <w:szCs w:val="20"/>
              </w:rPr>
            </w:pPr>
            <w:r>
              <w:rPr>
                <w:rFonts w:ascii="Century Gothic" w:hAnsi="Century Gothic" w:cs="Arial"/>
                <w:bCs/>
                <w:sz w:val="20"/>
                <w:szCs w:val="20"/>
              </w:rPr>
              <w:t xml:space="preserve">13. Existirán dos modalidades de subasta inversa electrónica: tradicional y simplificada. Hasta que el SERCOP implemente las herramientas tecnológicas para aplicar la modalidad de subasta inversa simplificada se aplicara solo la tradicional.</w:t>
            </w:r>
          </w:p>
          <w:p w14:paraId="21543B8C" w14:textId="77777777" w:rsidR="00A76227" w:rsidRPr="00A76227" w:rsidRDefault="00A76227" w:rsidP="00A76227">
            <w:pPr>
              <w:jc w:val="both"/>
              <w:rPr>
                <w:rFonts w:ascii="Century Gothic" w:hAnsi="Century Gothic" w:cs="Arial"/>
                <w:bCs/>
                <w:sz w:val="20"/>
                <w:szCs w:val="20"/>
                <w:highlight w:val="yellow"/>
              </w:rPr>
            </w:pPr>
          </w:p>
          <w:p w14:paraId="72E5F1D3" w14:textId="77777777" w:rsidR="00B429E9" w:rsidRPr="009C3A0E" w:rsidRDefault="00B429E9" w:rsidP="00B429E9">
            <w:pPr>
              <w:jc w:val="both"/>
              <w:rPr>
                <w:rFonts w:ascii="Century Gothic" w:hAnsi="Century Gothic" w:cs="Arial"/>
                <w:b/>
                <w:sz w:val="20"/>
                <w:szCs w:val="20"/>
              </w:rPr>
            </w:pPr>
            <w:r>
              <w:rPr>
                <w:rFonts w:ascii="Century Gothic" w:hAnsi="Century Gothic" w:cs="Arial"/>
                <w:b/>
                <w:sz w:val="20"/>
                <w:szCs w:val="20"/>
              </w:rPr>
              <w:t>NORMAS DE CONTROL DEL SECTOR PÚBLICO Y JURÍDICAS DE DERECHO PRIVADO</w:t>
            </w:r>
          </w:p>
          <w:p w14:paraId="7A7B11C7" w14:textId="77777777" w:rsidR="00B429E9" w:rsidRPr="009C3A0E" w:rsidRDefault="00B429E9" w:rsidP="00B429E9">
            <w:pPr>
              <w:jc w:val="both"/>
              <w:rPr>
                <w:rFonts w:ascii="Century Gothic" w:hAnsi="Century Gothic" w:cs="Arial"/>
                <w:sz w:val="20"/>
                <w:szCs w:val="20"/>
              </w:rPr>
            </w:pPr>
          </w:p>
          <w:p w14:paraId="5E65EF4F" w14:textId="77777777" w:rsidR="00B429E9" w:rsidRPr="009C3A0E" w:rsidRDefault="00B429E9" w:rsidP="00B429E9">
            <w:pPr>
              <w:jc w:val="both"/>
              <w:rPr>
                <w:rFonts w:ascii="Century Gothic" w:hAnsi="Century Gothic" w:cs="Arial"/>
                <w:i/>
                <w:sz w:val="20"/>
                <w:szCs w:val="20"/>
              </w:rPr>
            </w:pPr>
            <w:r>
              <w:rPr>
                <w:rFonts w:ascii="Century Gothic" w:hAnsi="Century Gothic" w:cs="Arial"/>
                <w:b/>
                <w:sz w:val="20"/>
                <w:szCs w:val="20"/>
              </w:rPr>
              <w:t>Norma general Nro. 406-03</w:t>
            </w:r>
            <w:r>
              <w:rPr>
                <w:rFonts w:ascii="Century Gothic" w:hAnsi="Century Gothic" w:cs="Arial"/>
                <w:sz w:val="20"/>
                <w:szCs w:val="20"/>
              </w:rPr>
              <w:t xml:space="preserve">.- “</w:t>
            </w:r>
            <w:r>
              <w:rPr>
                <w:rFonts w:ascii="Century Gothic" w:hAnsi="Century Gothic" w:cs="Arial"/>
                <w:i/>
                <w:sz w:val="20"/>
                <w:szCs w:val="20"/>
              </w:rPr>
              <w:t>Las entidades y organismos del sector público realizarán las contrataciones para adquisición o arrendamiento de bienes, ejecución de obras y prestación de servicios incluidos los de consultoría, a través del Sistema Nacional de Contratación Pública.</w:t>
            </w:r>
          </w:p>
          <w:p w14:paraId="079A98D2" w14:textId="77777777" w:rsidR="00B429E9" w:rsidRPr="009C3A0E" w:rsidRDefault="00B429E9" w:rsidP="00B429E9">
            <w:pPr>
              <w:jc w:val="both"/>
              <w:rPr>
                <w:rFonts w:ascii="Century Gothic" w:hAnsi="Century Gothic" w:cs="Arial"/>
                <w:i/>
                <w:sz w:val="20"/>
                <w:szCs w:val="20"/>
              </w:rPr>
            </w:pPr>
          </w:p>
          <w:p w14:paraId="50E57213" w14:textId="77777777" w:rsidR="00B429E9" w:rsidRPr="009C3A0E" w:rsidRDefault="00B429E9" w:rsidP="00B429E9">
            <w:pPr>
              <w:jc w:val="both"/>
              <w:rPr>
                <w:rFonts w:ascii="Century Gothic" w:hAnsi="Century Gothic" w:cs="Arial"/>
                <w:i/>
                <w:sz w:val="20"/>
                <w:szCs w:val="20"/>
              </w:rPr>
            </w:pPr>
            <w:r>
              <w:rPr>
                <w:rFonts w:ascii="Century Gothic" w:hAnsi="Century Gothic" w:cs="Arial"/>
                <w:i/>
                <w:sz w:val="20"/>
                <w:szCs w:val="20"/>
              </w:rPr>
              <w:t xml:space="preserve">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w:t>
            </w:r>
          </w:p>
          <w:p w14:paraId="0D562F2D" w14:textId="77777777" w:rsidR="00B429E9" w:rsidRPr="009C3A0E" w:rsidRDefault="00B429E9" w:rsidP="00B429E9">
            <w:pPr>
              <w:jc w:val="both"/>
              <w:rPr>
                <w:rFonts w:ascii="Century Gothic" w:hAnsi="Century Gothic" w:cs="Arial"/>
                <w:i/>
                <w:sz w:val="20"/>
                <w:szCs w:val="20"/>
              </w:rPr>
            </w:pPr>
          </w:p>
          <w:p w14:paraId="3E5C96E2" w14:textId="77777777" w:rsidR="00B429E9" w:rsidRPr="009C3A0E" w:rsidRDefault="00B429E9" w:rsidP="00B429E9">
            <w:pPr>
              <w:jc w:val="both"/>
              <w:rPr>
                <w:rFonts w:ascii="Century Gothic" w:hAnsi="Century Gothic" w:cs="Arial"/>
                <w:i/>
                <w:sz w:val="20"/>
                <w:szCs w:val="20"/>
              </w:rPr>
            </w:pPr>
            <w:r>
              <w:rPr>
                <w:rFonts w:ascii="Century Gothic" w:hAnsi="Century Gothic" w:cs="Arial"/>
                <w:i/>
                <w:sz w:val="20"/>
                <w:szCs w:val="20"/>
              </w:rPr>
              <w:t xml:space="preserve">-Las adquisiciones serán solicitadas, autorizadas y ejecutadas con la anticipación suficiente y en las cantidades justificadas técnicamente; y, deberán considerar el tiempo que le toma a cada entidad la realización de un proceso de contratación hasta la adjudicación…”. </w:t>
            </w:r>
          </w:p>
          <w:p w14:paraId="01152529" w14:textId="77777777" w:rsidR="00B429E9" w:rsidRPr="009C3A0E" w:rsidRDefault="00B429E9" w:rsidP="00B429E9">
            <w:pPr>
              <w:jc w:val="both"/>
              <w:rPr>
                <w:rFonts w:ascii="Century Gothic" w:hAnsi="Century Gothic" w:cs="Arial"/>
                <w:bCs/>
                <w:sz w:val="20"/>
                <w:szCs w:val="20"/>
                <w:highlight w:val="yellow"/>
              </w:rPr>
            </w:pPr>
          </w:p>
          <w:p w14:paraId="233F4D32" w14:textId="77777777" w:rsidR="00B429E9" w:rsidRDefault="00B429E9" w:rsidP="00B429E9">
            <w:pPr>
              <w:jc w:val="both"/>
              <w:rPr>
                <w:rFonts w:ascii="Century Gothic" w:hAnsi="Century Gothic" w:cs="Arial"/>
                <w:b/>
                <w:bCs/>
                <w:sz w:val="20"/>
                <w:szCs w:val="20"/>
              </w:rPr>
            </w:pPr>
            <w:r>
              <w:rPr>
                <w:rFonts w:ascii="Century Gothic" w:hAnsi="Century Gothic" w:cs="Arial"/>
                <w:b/>
                <w:bCs/>
                <w:sz w:val="20"/>
                <w:szCs w:val="20"/>
              </w:rPr>
              <w:t xml:space="preserve">ORDENANZA SUSTITUTIVA QUE REGLAMENTA LA ORGANIZACIÓN, ADMINISTRACIÓN Y FUNCIONAMIENTO DEL CENTRO DE RESPONSABILIDAD SOCIAL Y SOLIDARIA MUNICIPAL “JORGE CAJAS GARZÓN” DEL CANTÓN SHUSHUFINDI</w:t>
            </w:r>
          </w:p>
          <w:p w14:paraId="4E812C97" w14:textId="77777777" w:rsidR="00B429E9" w:rsidRPr="009C3A0E" w:rsidRDefault="00B429E9" w:rsidP="00B429E9">
            <w:pPr>
              <w:spacing w:before="240"/>
              <w:jc w:val="both"/>
              <w:rPr>
                <w:rFonts w:ascii="Century Gothic" w:hAnsi="Century Gothic" w:cs="Arial"/>
                <w:i/>
                <w:sz w:val="20"/>
                <w:szCs w:val="20"/>
              </w:rPr>
            </w:pPr>
            <w:r>
              <w:rPr>
                <w:rFonts w:ascii="Century Gothic" w:hAnsi="Century Gothic" w:cs="Arial"/>
                <w:b/>
                <w:sz w:val="20"/>
                <w:szCs w:val="20"/>
              </w:rPr>
              <w:lastRenderedPageBreak/>
              <w:t>Art. 1.-</w:t>
            </w:r>
            <w:r>
              <w:rPr>
                <w:rFonts w:ascii="Century Gothic" w:hAnsi="Century Gothic" w:cs="Arial"/>
                <w:sz w:val="20"/>
                <w:szCs w:val="20"/>
              </w:rPr>
              <w:t xml:space="preserve"> Naturaleza Jurídica. 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p w14:paraId="4C986F63" w14:textId="77777777" w:rsidR="00B429E9" w:rsidRPr="009C3A0E" w:rsidRDefault="00B429E9" w:rsidP="00B429E9">
            <w:pPr>
              <w:spacing w:before="240"/>
              <w:jc w:val="both"/>
              <w:rPr>
                <w:rFonts w:ascii="Century Gothic" w:hAnsi="Century Gothic" w:cs="Arial"/>
                <w:sz w:val="20"/>
                <w:szCs w:val="20"/>
              </w:rPr>
            </w:pPr>
            <w:r>
              <w:rPr>
                <w:rFonts w:ascii="Century Gothic" w:hAnsi="Century Gothic" w:cs="Arial"/>
                <w:b/>
                <w:i/>
                <w:sz w:val="20"/>
                <w:szCs w:val="20"/>
              </w:rPr>
              <w:t>Art. 28.-</w:t>
            </w:r>
            <w:r>
              <w:rPr>
                <w:rFonts w:ascii="Century Gothic" w:hAnsi="Century Gothic" w:cs="Arial"/>
                <w:i/>
                <w:sz w:val="20"/>
                <w:szCs w:val="20"/>
              </w:rPr>
              <w:t xml:space="preserve"> Son funciones del Director/a General del Centro de Responsabilidad Social y Solidaria Municipal Jorge Cajas Garzón del Cantón Shushufindi, además de las definidas en la Ley, decreto o acuerdos pertinentes, las siguientes…”.  “… 5. Efectuar la contratación de bienes y servicios que se requieran, dentro del límite de gastos autorizados, en el marco del Plan Anual de Contratación, y de forma responsable para suplir necesidades del Centro de Responsabilidad Social y Solidaria Municipal Jorge Cajas Garzón del Cantón Shushufindi…”.</w:t>
            </w:r>
            <w:r>
              <w:rPr>
                <w:rFonts w:ascii="Century Gothic" w:hAnsi="Century Gothic" w:cs="Arial"/>
                <w:sz w:val="20"/>
                <w:szCs w:val="20"/>
              </w:rPr>
              <w:t xml:space="preserve"> </w:t>
            </w:r>
          </w:p>
          <w:p w14:paraId="0EF618E9" w14:textId="77777777" w:rsidR="00B429E9" w:rsidRPr="009C3A0E" w:rsidRDefault="00B429E9" w:rsidP="00B429E9">
            <w:pPr>
              <w:spacing w:before="240"/>
              <w:jc w:val="both"/>
              <w:rPr>
                <w:rFonts w:ascii="Century Gothic" w:hAnsi="Century Gothic" w:cs="Arial"/>
                <w:sz w:val="20"/>
                <w:szCs w:val="20"/>
              </w:rPr>
            </w:pPr>
          </w:p>
          <w:p w14:paraId="1226645C" w14:textId="77777777" w:rsidR="00B429E9" w:rsidRPr="009C3A0E" w:rsidRDefault="00B429E9" w:rsidP="00B429E9">
            <w:pPr>
              <w:jc w:val="both"/>
              <w:rPr>
                <w:rFonts w:ascii="Century Gothic" w:hAnsi="Century Gothic" w:cs="Arial"/>
                <w:b/>
                <w:sz w:val="20"/>
                <w:szCs w:val="20"/>
              </w:rPr>
            </w:pPr>
            <w:r>
              <w:rPr>
                <w:rFonts w:ascii="Century Gothic" w:hAnsi="Century Gothic" w:cs="Arial"/>
                <w:b/>
                <w:sz w:val="20"/>
                <w:szCs w:val="20"/>
              </w:rPr>
              <w:t>ORDENANZA QUE REGULA Y GARANTIZA LA CONTRATACIÓN DEL EMPLEO PREFERENTE, ADQUISICIÓN DE BIENES Y SERVICIOS DE LAS Y LOS RESIDENTES DEL CANTÓN SHUSHUFINDI.</w:t>
            </w:r>
          </w:p>
          <w:p w14:paraId="65E4DC5C" w14:textId="77777777" w:rsidR="00B429E9" w:rsidRDefault="00B429E9" w:rsidP="00B429E9">
            <w:pPr>
              <w:jc w:val="both"/>
              <w:rPr>
                <w:rFonts w:ascii="Century Gothic" w:hAnsi="Century Gothic" w:cs="Arial"/>
                <w:sz w:val="20"/>
                <w:szCs w:val="20"/>
              </w:rPr>
            </w:pPr>
          </w:p>
          <w:p w14:paraId="17E6A571" w14:textId="77777777" w:rsidR="00B429E9" w:rsidRPr="009C3A0E" w:rsidRDefault="00B429E9" w:rsidP="00B429E9">
            <w:pPr>
              <w:jc w:val="both"/>
              <w:rPr>
                <w:rFonts w:ascii="Century Gothic" w:hAnsi="Century Gothic" w:cs="Arial"/>
                <w:sz w:val="20"/>
                <w:szCs w:val="20"/>
              </w:rPr>
            </w:pPr>
            <w:r>
              <w:rPr>
                <w:rFonts w:ascii="Century Gothic" w:hAnsi="Century Gothic" w:cs="Arial"/>
                <w:b/>
                <w:sz w:val="20"/>
                <w:szCs w:val="20"/>
              </w:rPr>
              <w:t>Art. 12.-</w:t>
            </w:r>
            <w:r>
              <w:rPr>
                <w:rFonts w:ascii="Century Gothic" w:hAnsi="Century Gothic" w:cs="Arial"/>
                <w:sz w:val="20"/>
                <w:szCs w:val="20"/>
              </w:rPr>
              <w:t xml:space="preserve"> Las personas naturales y jurídicas determinadas en el Art. 1 de la presente ordenanza, para los contratos de ejecución de obras, adquisición de bienes y prestación de servicios incluidos los de consultoría, el adjudicatario deberá obligatoriamente adquirir no menos del 80% de los bienes, materiales y/o servicios en la jurisdicción del cantón Shushufindi, en el evento de que no existan en la localidad los bienes y/o materiales requeridos, previo la autorización emitida por el Administrador del Contrato, Fiscalizador o quien haga sus veces y una vez que se ha demostrado fehacientemente la inexistencia de los bienes y/o materiales, se podrá adquirir fuera de la circunscripción del cantón Shushufindi, en primer lugar los cantones de la Provincia Sucumbíos y en el evento de no existir, podrá adquirirlos en las demás provincias de la circunscripción territorial amazónica.</w:t>
            </w:r>
          </w:p>
          <w:p w14:paraId="0665A8BC" w14:textId="77777777" w:rsidR="00B429E9" w:rsidRPr="009C3A0E" w:rsidRDefault="00B429E9" w:rsidP="00B429E9">
            <w:pPr>
              <w:jc w:val="both"/>
              <w:rPr>
                <w:rFonts w:ascii="Century Gothic" w:hAnsi="Century Gothic" w:cs="Arial"/>
                <w:sz w:val="20"/>
                <w:szCs w:val="20"/>
              </w:rPr>
            </w:pPr>
          </w:p>
          <w:p w14:paraId="0506EF1F" w14:textId="77777777" w:rsidR="00B429E9" w:rsidRDefault="00B429E9" w:rsidP="00B429E9">
            <w:pPr>
              <w:jc w:val="both"/>
              <w:rPr>
                <w:rFonts w:ascii="Century Gothic" w:hAnsi="Century Gothic" w:cs="Arial"/>
                <w:sz w:val="20"/>
                <w:szCs w:val="20"/>
              </w:rPr>
            </w:pPr>
            <w:r>
              <w:rPr>
                <w:rFonts w:ascii="Century Gothic" w:hAnsi="Century Gothic" w:cs="Arial"/>
                <w:sz w:val="20"/>
                <w:szCs w:val="20"/>
              </w:rPr>
              <w:t xml:space="preserve">Debiendo los bienes y/o servicios ofertados en esta jurisdicción cantonal, estar acordes a los precios de mercado de la Región, como medida de protección para el oferente/consumidor, los expendedores de los bienes y/o servicios estarán sujetos de control conforme lo preceptúa los artículos 51 y 53 de la Ley Orgánica de Defensa del Consumidor para de esta manera evitar cualquier práctica desleal que tienda a causar la especulación indiscriminada de precios, dentro de la jurisdicción local por las condiciones de vida, entiéndase económica, social, ambiental por ser una zona especial. </w:t>
            </w:r>
          </w:p>
          <w:p w14:paraId="061CC7FE" w14:textId="77777777" w:rsidR="00A12D07" w:rsidRPr="009C3A0E" w:rsidRDefault="00A12D07" w:rsidP="00A12D07">
            <w:pPr>
              <w:spacing w:before="240"/>
              <w:jc w:val="both"/>
              <w:rPr>
                <w:rFonts w:ascii="Century Gothic" w:eastAsia="Times New Roman" w:hAnsi="Century Gothic"/>
                <w:i/>
                <w:iCs/>
                <w:sz w:val="20"/>
                <w:szCs w:val="20"/>
                <w:lang w:eastAsia="es-ES"/>
              </w:rPr>
            </w:pPr>
            <w:r>
              <w:rPr>
                <w:rFonts w:ascii="Century Gothic" w:hAnsi="Century Gothic" w:cs="Arial"/>
                <w:sz w:val="20"/>
                <w:szCs w:val="20"/>
                <w:highlight w:val="yellow"/>
              </w:rPr>
              <w:t>AGREGAR NORMATIVA APLICABLE PERTINENTE AL PROCESO DE CONTRATACION Y REFERENTE A LA UNIDAD REQUIRENTE</w:t>
            </w:r>
            <w:r>
              <w:rPr>
                <w:rFonts w:ascii="Century Gothic" w:hAnsi="Century Gothic" w:cs="Arial"/>
                <w:sz w:val="20"/>
                <w:szCs w:val="20"/>
              </w:rPr>
              <w:t xml:space="preserve"> </w:t>
            </w:r>
          </w:p>
          <w:p w14:paraId="756D888F" w14:textId="77777777" w:rsidR="00A12D07" w:rsidRPr="009C3A0E" w:rsidRDefault="00A12D07" w:rsidP="00E87565">
            <w:pPr>
              <w:jc w:val="both"/>
              <w:rPr>
                <w:rFonts w:ascii="Century Gothic" w:hAnsi="Century Gothic" w:cs="Arial"/>
                <w:sz w:val="20"/>
                <w:szCs w:val="20"/>
              </w:rPr>
            </w:pPr>
          </w:p>
          <w:p w14:paraId="48918C70" w14:textId="77777777" w:rsidR="00417D09" w:rsidRPr="00285A8B" w:rsidRDefault="00417D09" w:rsidP="00417D09">
            <w:pPr>
              <w:spacing w:before="240"/>
              <w:jc w:val="both"/>
              <w:rPr>
                <w:rFonts w:ascii="Century Gothic" w:hAnsi="Century Gothic" w:cs="Arial"/>
                <w:b/>
                <w:i/>
                <w:sz w:val="24"/>
                <w:szCs w:val="20"/>
              </w:rPr>
            </w:pPr>
            <w:r>
              <w:rPr>
                <w:rFonts w:ascii="Century Gothic" w:hAnsi="Century Gothic" w:cs="Arial"/>
                <w:b/>
                <w:i/>
                <w:sz w:val="24"/>
                <w:szCs w:val="20"/>
                <w:highlight w:val="yellow"/>
              </w:rPr>
              <w:t>VERIFICAR NORMATIVA ACORDE AL PROCESO DE CONTRATACION, CASO CONTRARIO ELIMINAR LA NORMATIVA QUE NO AJUSTE AL PROCESO A EJECUTARSE</w:t>
            </w:r>
            <w:r>
              <w:rPr>
                <w:rFonts w:ascii="Century Gothic" w:hAnsi="Century Gothic" w:cs="Arial"/>
                <w:b/>
                <w:i/>
                <w:sz w:val="24"/>
                <w:szCs w:val="20"/>
              </w:rPr>
              <w:t xml:space="preserve"> </w:t>
            </w:r>
          </w:p>
          <w:p w14:paraId="75A34360" w14:textId="7132D3A0" w:rsidR="00040E60" w:rsidRPr="00417D09" w:rsidRDefault="00C87818" w:rsidP="00295AF7">
            <w:pPr>
              <w:spacing w:before="240"/>
              <w:jc w:val="both"/>
              <w:rPr>
                <w:rFonts w:ascii="Century Gothic" w:hAnsi="Century Gothic" w:cs="Arial"/>
                <w:b/>
                <w:sz w:val="36"/>
                <w:szCs w:val="20"/>
                <w:u w:val="single"/>
              </w:rPr>
            </w:pPr>
            <w:r>
              <w:rPr>
                <w:rFonts w:ascii="Century Gothic" w:hAnsi="Century Gothic" w:cs="Arial"/>
                <w:b/>
                <w:sz w:val="36"/>
                <w:szCs w:val="20"/>
                <w:highlight w:val="yellow"/>
                <w:u w:val="single"/>
              </w:rPr>
              <w:t>CATALOGO ELECTRONICO</w:t>
            </w:r>
          </w:p>
          <w:p w14:paraId="45ED9AA9" w14:textId="77777777" w:rsidR="000D02CC" w:rsidRPr="00C87818" w:rsidRDefault="000D02CC" w:rsidP="00295AF7">
            <w:pPr>
              <w:spacing w:before="240"/>
              <w:jc w:val="both"/>
              <w:rPr>
                <w:rFonts w:ascii="Century Gothic" w:hAnsi="Century Gothic" w:cs="Arial"/>
                <w:b/>
                <w:sz w:val="36"/>
                <w:szCs w:val="20"/>
              </w:rPr>
            </w:pPr>
          </w:p>
          <w:p w14:paraId="5E8F15B6" w14:textId="77777777" w:rsidR="00B2534D" w:rsidRPr="009C3A0E" w:rsidRDefault="00B2534D" w:rsidP="00B2534D">
            <w:pPr>
              <w:jc w:val="both"/>
              <w:rPr>
                <w:rFonts w:ascii="Century Gothic" w:hAnsi="Century Gothic" w:cs="Arial"/>
                <w:b/>
                <w:bCs/>
                <w:sz w:val="20"/>
                <w:szCs w:val="20"/>
              </w:rPr>
            </w:pPr>
            <w:r>
              <w:rPr>
                <w:rFonts w:ascii="Century Gothic" w:hAnsi="Century Gothic" w:cs="Arial"/>
                <w:b/>
                <w:bCs/>
                <w:sz w:val="20"/>
                <w:szCs w:val="20"/>
              </w:rPr>
              <w:t>CONSTITUCIÓN DE LA REPUBLICA DEL ECUADOR</w:t>
            </w:r>
          </w:p>
          <w:p w14:paraId="3240C288" w14:textId="77777777" w:rsidR="00B2534D" w:rsidRPr="009C3A0E" w:rsidRDefault="00B2534D" w:rsidP="00B2534D">
            <w:pPr>
              <w:spacing w:before="240"/>
              <w:jc w:val="both"/>
              <w:rPr>
                <w:rFonts w:ascii="Century Gothic" w:hAnsi="Century Gothic" w:cs="Arial"/>
                <w:sz w:val="20"/>
                <w:szCs w:val="20"/>
              </w:rPr>
            </w:pPr>
            <w:r>
              <w:rPr>
                <w:rFonts w:ascii="Century Gothic" w:hAnsi="Century Gothic" w:cs="Arial"/>
                <w:b/>
                <w:sz w:val="20"/>
                <w:szCs w:val="20"/>
              </w:rPr>
              <w:t>Art. 226.-</w:t>
            </w:r>
            <w:r>
              <w:rPr>
                <w:rFonts w:ascii="Century Gothic" w:hAnsi="Century Gothic" w:cs="Arial"/>
                <w:sz w:val="20"/>
                <w:szCs w:val="20"/>
              </w:rPr>
              <w:t xml:space="preserve"> 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14:paraId="7973A5F5" w14:textId="77777777" w:rsidR="00B2534D" w:rsidRPr="009C3A0E" w:rsidRDefault="00B2534D" w:rsidP="00B2534D">
            <w:pPr>
              <w:spacing w:before="240"/>
              <w:jc w:val="both"/>
              <w:rPr>
                <w:rFonts w:ascii="Century Gothic" w:hAnsi="Century Gothic" w:cs="Arial"/>
                <w:sz w:val="20"/>
                <w:szCs w:val="20"/>
              </w:rPr>
            </w:pPr>
            <w:r>
              <w:rPr>
                <w:rFonts w:ascii="Century Gothic" w:hAnsi="Century Gothic" w:cs="Arial"/>
                <w:b/>
                <w:sz w:val="20"/>
                <w:szCs w:val="20"/>
              </w:rPr>
              <w:lastRenderedPageBreak/>
              <w:t>Art. 227.-</w:t>
            </w:r>
            <w:r>
              <w:rPr>
                <w:rFonts w:ascii="Century Gothic" w:hAnsi="Century Gothic" w:cs="Arial"/>
                <w:sz w:val="20"/>
                <w:szCs w:val="20"/>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p>
          <w:p w14:paraId="64B29DF0" w14:textId="77777777" w:rsidR="00B2534D" w:rsidRPr="009C3A0E" w:rsidRDefault="00B2534D" w:rsidP="00B2534D">
            <w:pPr>
              <w:spacing w:before="240"/>
              <w:jc w:val="both"/>
              <w:rPr>
                <w:rFonts w:ascii="Century Gothic" w:hAnsi="Century Gothic" w:cs="Arial"/>
                <w:sz w:val="20"/>
                <w:szCs w:val="20"/>
              </w:rPr>
            </w:pPr>
            <w:r>
              <w:rPr>
                <w:rFonts w:ascii="Century Gothic" w:hAnsi="Century Gothic" w:cs="Arial"/>
                <w:b/>
                <w:sz w:val="20"/>
                <w:szCs w:val="20"/>
              </w:rPr>
              <w:t>Art. 288</w:t>
            </w:r>
            <w:r>
              <w:rPr>
                <w:rFonts w:ascii="Century Gothic" w:hAnsi="Century Gothic" w:cs="Arial"/>
                <w:sz w:val="20"/>
                <w:szCs w:val="20"/>
              </w:rPr>
              <w:t>.- 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p>
          <w:p w14:paraId="3361FCCB" w14:textId="77777777" w:rsidR="00B2534D" w:rsidRPr="009C3A0E" w:rsidRDefault="00B2534D" w:rsidP="00B2534D">
            <w:pPr>
              <w:jc w:val="both"/>
              <w:rPr>
                <w:rFonts w:ascii="Century Gothic" w:hAnsi="Century Gothic" w:cs="Arial"/>
                <w:b/>
                <w:bCs/>
                <w:sz w:val="20"/>
                <w:szCs w:val="20"/>
                <w:lang w:val="es-ES"/>
              </w:rPr>
            </w:pPr>
          </w:p>
          <w:p w14:paraId="512BD435" w14:textId="77777777" w:rsidR="00B2534D" w:rsidRPr="009C3A0E" w:rsidRDefault="00B2534D" w:rsidP="00B2534D">
            <w:pPr>
              <w:jc w:val="both"/>
              <w:rPr>
                <w:rFonts w:ascii="Century Gothic" w:hAnsi="Century Gothic" w:cs="Arial"/>
                <w:b/>
                <w:bCs/>
                <w:sz w:val="20"/>
                <w:szCs w:val="20"/>
                <w:lang w:val="es-ES"/>
              </w:rPr>
            </w:pPr>
            <w:r>
              <w:rPr>
                <w:rFonts w:ascii="Century Gothic" w:hAnsi="Century Gothic" w:cs="Arial"/>
                <w:b/>
                <w:bCs/>
                <w:sz w:val="20"/>
                <w:szCs w:val="20"/>
                <w:lang w:val="es-ES"/>
              </w:rPr>
              <w:t>CÓDIGO ORGÁNICO DE ORGANIZACIÓN TERRITORIAL AUTONOMÍA Y DESCENTRALIZACIÓN</w:t>
            </w:r>
          </w:p>
          <w:p w14:paraId="1978D4A4" w14:textId="77777777" w:rsidR="00B2534D" w:rsidRPr="009C3A0E" w:rsidRDefault="00B2534D" w:rsidP="00B2534D">
            <w:pPr>
              <w:jc w:val="both"/>
              <w:rPr>
                <w:rFonts w:ascii="Century Gothic" w:hAnsi="Century Gothic" w:cs="Arial"/>
                <w:b/>
                <w:bCs/>
                <w:sz w:val="20"/>
                <w:szCs w:val="20"/>
                <w:lang w:val="es-ES"/>
              </w:rPr>
            </w:pPr>
          </w:p>
          <w:p w14:paraId="4B8253D2" w14:textId="77777777" w:rsidR="00B2534D" w:rsidRPr="009C3A0E" w:rsidRDefault="00B2534D" w:rsidP="00B2534D">
            <w:pPr>
              <w:jc w:val="both"/>
              <w:rPr>
                <w:rFonts w:ascii="Century Gothic" w:hAnsi="Century Gothic" w:cs="Arial"/>
                <w:sz w:val="20"/>
                <w:szCs w:val="20"/>
              </w:rPr>
            </w:pPr>
            <w:r>
              <w:rPr>
                <w:rFonts w:ascii="Century Gothic" w:hAnsi="Century Gothic" w:cs="Arial"/>
                <w:b/>
                <w:sz w:val="20"/>
                <w:szCs w:val="20"/>
              </w:rPr>
              <w:t>Art. 278.-</w:t>
            </w:r>
            <w:r>
              <w:rPr>
                <w:rFonts w:ascii="Century Gothic" w:hAnsi="Century Gothic" w:cs="Arial"/>
                <w:i/>
                <w:sz w:val="20"/>
                <w:szCs w:val="20"/>
              </w:rPr>
              <w:t>Gestión por contrato. - En la adquisición o arrendamiento de bienes, ejecución de obras y prestación de servicios, incluidos los de consultoría, los gobiernos autónomos descentralizados observarán las disposiciones, principios, herramientas e instrumentos previstos en la Ley que regule la contratación pública.</w:t>
            </w:r>
          </w:p>
          <w:p w14:paraId="61D67AA0" w14:textId="77777777" w:rsidR="00B2534D" w:rsidRPr="009C3A0E" w:rsidRDefault="00B2534D" w:rsidP="00B2534D">
            <w:pPr>
              <w:jc w:val="both"/>
              <w:rPr>
                <w:rFonts w:ascii="Century Gothic" w:hAnsi="Century Gothic" w:cs="Arial"/>
                <w:b/>
                <w:bCs/>
                <w:sz w:val="20"/>
                <w:szCs w:val="20"/>
                <w:lang w:val="es-ES"/>
              </w:rPr>
            </w:pPr>
          </w:p>
          <w:p w14:paraId="7C2B3612" w14:textId="77777777" w:rsidR="00B2534D" w:rsidRPr="009C3A0E" w:rsidRDefault="00B2534D" w:rsidP="00B2534D">
            <w:pPr>
              <w:jc w:val="both"/>
              <w:rPr>
                <w:rFonts w:ascii="Century Gothic" w:hAnsi="Century Gothic" w:cs="Arial"/>
                <w:b/>
                <w:bCs/>
                <w:sz w:val="20"/>
                <w:szCs w:val="20"/>
                <w:lang w:val="es-ES"/>
              </w:rPr>
            </w:pPr>
            <w:r>
              <w:rPr>
                <w:rFonts w:ascii="Century Gothic" w:hAnsi="Century Gothic" w:cs="Arial"/>
                <w:b/>
                <w:bCs/>
                <w:sz w:val="20"/>
                <w:szCs w:val="20"/>
                <w:lang w:val="es-ES"/>
              </w:rPr>
              <w:t>LEY ORGÁNICA DEL SISTEMA NACIONAL DE CONTRATACIÓN PÚBLICA –LOSNCP</w:t>
            </w:r>
          </w:p>
          <w:p w14:paraId="20C64A99" w14:textId="77777777" w:rsidR="00B2534D" w:rsidRPr="009C3A0E" w:rsidRDefault="00B2534D" w:rsidP="00B2534D">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3</w:t>
            </w:r>
            <w:r>
              <w:rPr>
                <w:rFonts w:ascii="Century Gothic" w:hAnsi="Century Gothic" w:cs="Arial"/>
                <w:sz w:val="20"/>
                <w:szCs w:val="20"/>
              </w:rPr>
              <w:t xml:space="preserve">.- </w:t>
            </w:r>
            <w:r>
              <w:rPr>
                <w:rFonts w:ascii="Century Gothic" w:hAnsi="Century Gothic" w:cs="Arial"/>
                <w:i/>
                <w:sz w:val="20"/>
                <w:szCs w:val="20"/>
              </w:rPr>
              <w:t xml:space="preserve">Principios. - Para la aplicación de esta Ley, y priorizando el interés público por encima del privado respetando el marco constitucional y legal, se vigilará la integridad de los procedimientos y contratos 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14:paraId="7228A55F" w14:textId="77777777" w:rsidR="00B2534D" w:rsidRPr="009C3A0E" w:rsidRDefault="00B2534D" w:rsidP="00B2534D">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21</w:t>
            </w:r>
            <w:r>
              <w:rPr>
                <w:rFonts w:ascii="Century Gothic" w:hAnsi="Century Gothic" w:cs="Arial"/>
                <w:sz w:val="20"/>
                <w:szCs w:val="20"/>
              </w:rPr>
              <w:t xml:space="preserve">.- </w:t>
            </w:r>
            <w:r>
              <w:rPr>
                <w:rFonts w:ascii="Century Gothic" w:hAnsi="Century Gothic" w:cs="Arial"/>
                <w:i/>
                <w:sz w:val="20"/>
                <w:szCs w:val="20"/>
              </w:rPr>
              <w:t xml:space="preserve">Portal de Contratación Pública. - s la plataforma informática oficial de contratación pública del Ecuador, será de uso obligatorio para proveedores y entidades contratantes, y será administrado por el SERCOP. El Portal de Contratación Pública contendrá respecto de todas las modalidades de contratación pública, salvo las sometidas a reserva por mandato de la Ley, entre otras, el RUP, catálogos o repertorios de compras, documentación o información de todas las fases de las contrataciones públicas, estadísticas, contratistas incumplidos o adjudicatarios fallidos, otras sanciones establecidas y la información sobre el estado de las contrataciones públicas. Será el único medio empleado para realizar todo procedimiento electrónico de contratación pública, de acuerdo con las disposiciones de la presente Ley y su Reglamento…”.</w:t>
            </w:r>
            <w:r>
              <w:rPr>
                <w:rFonts w:ascii="Century Gothic" w:hAnsi="Century Gothic" w:cs="Arial"/>
                <w:sz w:val="20"/>
                <w:szCs w:val="20"/>
              </w:rPr>
              <w:t xml:space="preserve"> </w:t>
            </w:r>
          </w:p>
          <w:p w14:paraId="4BF678D7" w14:textId="41A9D125" w:rsidR="003B4594" w:rsidRPr="006E49DA" w:rsidRDefault="006E49DA" w:rsidP="003B4594">
            <w:pPr>
              <w:spacing w:before="240"/>
              <w:jc w:val="both"/>
              <w:rPr>
                <w:rFonts w:ascii="Century Gothic" w:hAnsi="Century Gothic" w:cs="Arial"/>
                <w:i/>
                <w:sz w:val="20"/>
                <w:szCs w:val="20"/>
              </w:rPr>
            </w:pPr>
            <w:r>
              <w:rPr>
                <w:rFonts w:ascii="Century Gothic" w:hAnsi="Century Gothic" w:cs="Arial"/>
                <w:b/>
                <w:i/>
                <w:sz w:val="20"/>
                <w:szCs w:val="20"/>
              </w:rPr>
              <w:t>“Art. 43</w:t>
            </w:r>
            <w:r>
              <w:rPr>
                <w:rFonts w:ascii="Century Gothic" w:hAnsi="Century Gothic" w:cs="Arial"/>
                <w:i/>
                <w:sz w:val="20"/>
                <w:szCs w:val="20"/>
              </w:rPr>
              <w:t xml:space="preserve">.- Catálogo electrónico El SERCOP efectuará periódicamente procedimientos de selección de proveedores que cumplan con los requisitos técnicos, económicos y demás condiciones para ser registrados dentro del Catálogo Electrónico, para la provisión de bienes y servicios, con quienes suscribirá convenios marco. El procedimiento de contratación en general se denominará Catálogo Electrónico, donde se incluirán las distintas modalidades…”. </w:t>
            </w:r>
          </w:p>
          <w:p w14:paraId="4ABA9BE8" w14:textId="5363ADE7" w:rsidR="00C87818" w:rsidRDefault="0092163E" w:rsidP="00C87818">
            <w:pPr>
              <w:spacing w:before="240"/>
              <w:jc w:val="both"/>
              <w:rPr>
                <w:rFonts w:ascii="Century Gothic" w:hAnsi="Century Gothic" w:cs="Arial"/>
                <w:i/>
                <w:sz w:val="20"/>
                <w:szCs w:val="20"/>
              </w:rPr>
            </w:pPr>
            <w:r>
              <w:rPr>
                <w:rFonts w:ascii="Century Gothic" w:hAnsi="Century Gothic" w:cs="Arial"/>
                <w:b/>
                <w:i/>
                <w:sz w:val="20"/>
                <w:szCs w:val="20"/>
              </w:rPr>
              <w:t>“Art. 46.-</w:t>
            </w:r>
            <w:r>
              <w:rPr>
                <w:rFonts w:ascii="Century Gothic" w:hAnsi="Century Gothic" w:cs="Arial"/>
                <w:sz w:val="20"/>
                <w:szCs w:val="20"/>
              </w:rPr>
              <w:t xml:space="preserve"> </w:t>
            </w:r>
            <w:r>
              <w:rPr>
                <w:rFonts w:ascii="Century Gothic" w:hAnsi="Century Gothic" w:cs="Arial"/>
                <w:i/>
                <w:sz w:val="20"/>
                <w:szCs w:val="20"/>
              </w:rPr>
              <w:t>Las Entidades Contratantes deberán consultar el catálogo electrónico previamente a establecer procesos de adquisición de bienes y servicios. Solo en caso de que el bien o servicio requerido no se encuentre catalogado se podrá realizar otros procedimientos de selección para la adquisición de bienes o servicios, de conformidad con la presente Ley y su Reglamento…”;</w:t>
            </w:r>
          </w:p>
          <w:p w14:paraId="23D5A3A6" w14:textId="77777777" w:rsidR="00C87818" w:rsidRPr="009C3A0E" w:rsidRDefault="00C87818" w:rsidP="00C87818">
            <w:pPr>
              <w:spacing w:before="240"/>
              <w:jc w:val="both"/>
              <w:rPr>
                <w:rFonts w:ascii="Century Gothic" w:hAnsi="Century Gothic" w:cs="Arial"/>
                <w:i/>
                <w:sz w:val="20"/>
                <w:szCs w:val="20"/>
              </w:rPr>
            </w:pPr>
          </w:p>
          <w:p w14:paraId="4348D015" w14:textId="77777777" w:rsidR="00D1550A" w:rsidRPr="009C3A0E" w:rsidRDefault="00D1550A" w:rsidP="00D1550A">
            <w:pPr>
              <w:jc w:val="both"/>
              <w:rPr>
                <w:rFonts w:ascii="Century Gothic" w:hAnsi="Century Gothic" w:cs="Arial"/>
                <w:b/>
                <w:sz w:val="20"/>
                <w:szCs w:val="20"/>
              </w:rPr>
            </w:pPr>
            <w:r>
              <w:rPr>
                <w:rFonts w:ascii="Century Gothic" w:hAnsi="Century Gothic" w:cs="Arial"/>
                <w:b/>
                <w:sz w:val="20"/>
                <w:szCs w:val="20"/>
              </w:rPr>
              <w:t>LEY ORGÁNICA PARA LA PLANIFICACIÓN Y DESARROLLO INTEGRAL DE LA CIRCUNSCRIPCIÓN TERRITORIAL ESPECIAL AMAZÓNICA</w:t>
            </w:r>
          </w:p>
          <w:p w14:paraId="5B63990F" w14:textId="77777777" w:rsidR="00D1550A" w:rsidRPr="009C3A0E" w:rsidRDefault="00D1550A" w:rsidP="00D1550A">
            <w:pPr>
              <w:spacing w:before="240"/>
              <w:jc w:val="both"/>
              <w:rPr>
                <w:rFonts w:ascii="Century Gothic" w:hAnsi="Century Gothic" w:cs="Arial"/>
                <w:i/>
                <w:sz w:val="20"/>
                <w:szCs w:val="20"/>
              </w:rPr>
            </w:pPr>
          </w:p>
          <w:p w14:paraId="16F3AFB7" w14:textId="77777777" w:rsidR="00D1550A" w:rsidRPr="009C3A0E" w:rsidRDefault="00D1550A" w:rsidP="00D1550A">
            <w:pPr>
              <w:jc w:val="both"/>
              <w:rPr>
                <w:rFonts w:ascii="Century Gothic" w:hAnsi="Century Gothic" w:cs="Arial"/>
                <w:sz w:val="20"/>
                <w:szCs w:val="20"/>
              </w:rPr>
            </w:pPr>
            <w:r>
              <w:rPr>
                <w:rFonts w:ascii="Century Gothic" w:hAnsi="Century Gothic" w:cs="Arial"/>
                <w:b/>
                <w:sz w:val="20"/>
                <w:szCs w:val="20"/>
              </w:rPr>
              <w:t>Art. 41.3.-</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w:t>
              <w:lastRenderedPageBreak/>
              <w:t>servicios y/o mano de obra deberá pertenecerá la jurisdicción especifica en la cual se ejecute la contratación, requisito que deberá constar explícito y obligatoriamente en los respectivos términos de referencia.</w:t>
            </w:r>
          </w:p>
          <w:p w14:paraId="1DA8BC1A" w14:textId="77777777" w:rsidR="00D1550A" w:rsidRPr="009C3A0E" w:rsidRDefault="00D1550A" w:rsidP="00D1550A">
            <w:pPr>
              <w:spacing w:before="240"/>
              <w:jc w:val="both"/>
              <w:rPr>
                <w:rFonts w:ascii="Century Gothic" w:hAnsi="Century Gothic" w:cs="Arial"/>
                <w:sz w:val="20"/>
                <w:szCs w:val="20"/>
              </w:rPr>
            </w:pPr>
            <w:r>
              <w:rPr>
                <w:rFonts w:ascii="Century Gothic" w:hAnsi="Century Gothic" w:cs="Arial"/>
                <w:b/>
                <w:sz w:val="20"/>
                <w:szCs w:val="20"/>
              </w:rPr>
              <w:t>Disposición general Quinta</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6D44E2E5" w14:textId="77777777" w:rsidR="00D1550A" w:rsidRPr="009C3A0E" w:rsidRDefault="00D1550A" w:rsidP="00D1550A">
            <w:pPr>
              <w:spacing w:before="240"/>
              <w:jc w:val="both"/>
              <w:rPr>
                <w:rFonts w:ascii="Century Gothic" w:hAnsi="Century Gothic" w:cs="Arial"/>
                <w:sz w:val="20"/>
                <w:szCs w:val="20"/>
              </w:rPr>
            </w:pPr>
          </w:p>
          <w:p w14:paraId="06C166E7" w14:textId="77777777" w:rsidR="00D1550A" w:rsidRPr="009C3A0E" w:rsidRDefault="00D1550A" w:rsidP="00D1550A">
            <w:pPr>
              <w:autoSpaceDE w:val="0"/>
              <w:autoSpaceDN w:val="0"/>
              <w:adjustRightInd w:val="0"/>
              <w:jc w:val="both"/>
              <w:rPr>
                <w:rFonts w:ascii="Century Gothic" w:hAnsi="Century Gothic" w:cs="Arial"/>
                <w:b/>
                <w:sz w:val="20"/>
                <w:szCs w:val="20"/>
              </w:rPr>
            </w:pPr>
            <w:r>
              <w:rPr>
                <w:rFonts w:ascii="Century Gothic" w:hAnsi="Century Gothic" w:cs="Arial"/>
                <w:b/>
                <w:sz w:val="20"/>
                <w:szCs w:val="20"/>
              </w:rPr>
              <w:t>REGLAMENTO A LA LEY ORGÁNICA PARA LA PLANIFICACIÓN Y DESARROLLO INTEGRAL DE LA CIRCUNSCRIPCIÓN TERRITORIAL ESPECIAL AMAZÓNICA</w:t>
            </w:r>
          </w:p>
          <w:p w14:paraId="44955B33" w14:textId="77777777" w:rsidR="00D1550A" w:rsidRPr="009C3A0E" w:rsidRDefault="00D1550A" w:rsidP="00D1550A">
            <w:pPr>
              <w:autoSpaceDE w:val="0"/>
              <w:autoSpaceDN w:val="0"/>
              <w:adjustRightInd w:val="0"/>
              <w:jc w:val="both"/>
              <w:rPr>
                <w:rFonts w:ascii="Century Gothic" w:hAnsi="Century Gothic" w:cs="Arial"/>
                <w:b/>
                <w:sz w:val="20"/>
                <w:szCs w:val="20"/>
              </w:rPr>
            </w:pPr>
          </w:p>
          <w:p w14:paraId="30D87E9B" w14:textId="77777777" w:rsidR="00D1550A" w:rsidRPr="009C3A0E" w:rsidRDefault="00D1550A" w:rsidP="00D1550A">
            <w:pPr>
              <w:jc w:val="both"/>
              <w:rPr>
                <w:rFonts w:ascii="Century Gothic" w:hAnsi="Century Gothic" w:cs="Arial"/>
                <w:sz w:val="20"/>
                <w:szCs w:val="20"/>
              </w:rPr>
            </w:pPr>
            <w:r>
              <w:rPr>
                <w:rFonts w:ascii="Century Gothic" w:hAnsi="Century Gothic" w:cs="Arial"/>
                <w:b/>
                <w:sz w:val="20"/>
                <w:szCs w:val="20"/>
              </w:rPr>
              <w:t>Art. 3.-</w:t>
            </w:r>
            <w:r>
              <w:rPr>
                <w:rFonts w:ascii="Century Gothic" w:hAnsi="Century Gothic" w:cs="Arial"/>
                <w:sz w:val="20"/>
                <w:szCs w:val="20"/>
              </w:rPr>
              <w:t xml:space="preserve"> Territorio de la Circunscripción Territorial Especial Amazónica: La Circunscripción Territorial Especial Amazónica comprende el área terrestre de las provincias amazónicas de Morona Santiago, Napo, Orellana, Pastaza, Sucumbíos y Zamora Chinchipe, que incluye áreas pobladas y no pobladas que corresponden geográficamente a la meseta amazónica y a las estribaciones a la Cordillera Oriental de los Andes, los recursos hídricos, fluviales, mineros, el subsuelo del área terrestre, el espacio aéreo y la órbita geoestacionaria. </w:t>
            </w:r>
          </w:p>
          <w:p w14:paraId="7C7DDA4B" w14:textId="77777777" w:rsidR="00D1550A" w:rsidRPr="009C3A0E" w:rsidRDefault="00D1550A" w:rsidP="00D1550A">
            <w:pPr>
              <w:autoSpaceDE w:val="0"/>
              <w:autoSpaceDN w:val="0"/>
              <w:adjustRightInd w:val="0"/>
              <w:jc w:val="both"/>
              <w:rPr>
                <w:rFonts w:ascii="Century Gothic" w:hAnsi="Century Gothic" w:cs="Arial"/>
                <w:b/>
                <w:sz w:val="20"/>
                <w:szCs w:val="20"/>
              </w:rPr>
            </w:pPr>
          </w:p>
          <w:p w14:paraId="032C7539" w14:textId="77777777" w:rsidR="00D1550A" w:rsidRPr="009C3A0E" w:rsidRDefault="00D1550A" w:rsidP="00D1550A">
            <w:pPr>
              <w:autoSpaceDE w:val="0"/>
              <w:autoSpaceDN w:val="0"/>
              <w:adjustRightInd w:val="0"/>
              <w:jc w:val="both"/>
              <w:rPr>
                <w:rFonts w:ascii="Century Gothic" w:hAnsi="Century Gothic" w:cs="Arial"/>
                <w:b/>
                <w:bCs/>
                <w:sz w:val="20"/>
                <w:szCs w:val="20"/>
              </w:rPr>
            </w:pPr>
          </w:p>
          <w:p w14:paraId="5B99B67D" w14:textId="77777777" w:rsidR="00D1550A" w:rsidRPr="009C3A0E" w:rsidRDefault="00D1550A" w:rsidP="00D1550A">
            <w:pPr>
              <w:jc w:val="both"/>
              <w:rPr>
                <w:rFonts w:ascii="Century Gothic" w:hAnsi="Century Gothic" w:cs="Arial"/>
                <w:b/>
                <w:bCs/>
                <w:sz w:val="20"/>
                <w:szCs w:val="20"/>
                <w:lang w:val="es-ES"/>
              </w:rPr>
            </w:pPr>
            <w:r>
              <w:rPr>
                <w:rFonts w:ascii="Century Gothic" w:hAnsi="Century Gothic" w:cs="Arial"/>
                <w:b/>
                <w:bCs/>
                <w:sz w:val="20"/>
                <w:szCs w:val="20"/>
                <w:lang w:val="es-ES"/>
              </w:rPr>
              <w:t>REGLAMENTO A LA LEY ORGÁNICA DEL SISTEMA NACIONAL DE CONTRATACIÓN PÚBLICA –LOSNCP</w:t>
            </w:r>
          </w:p>
          <w:p w14:paraId="32FACEC0" w14:textId="77777777" w:rsidR="00D1550A" w:rsidRPr="009C3A0E" w:rsidRDefault="00D1550A" w:rsidP="00D1550A">
            <w:pPr>
              <w:autoSpaceDE w:val="0"/>
              <w:autoSpaceDN w:val="0"/>
              <w:adjustRightInd w:val="0"/>
              <w:jc w:val="both"/>
              <w:rPr>
                <w:rFonts w:ascii="Century Gothic" w:hAnsi="Century Gothic" w:cs="Arial"/>
                <w:bCs/>
                <w:sz w:val="20"/>
                <w:szCs w:val="20"/>
              </w:rPr>
            </w:pPr>
          </w:p>
          <w:p w14:paraId="5ADA7776"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
                <w:bCs/>
                <w:sz w:val="20"/>
                <w:szCs w:val="20"/>
              </w:rPr>
              <w:t>Art. 22.-</w:t>
            </w:r>
            <w:r>
              <w:rPr>
                <w:rFonts w:ascii="Century Gothic" w:hAnsi="Century Gothic" w:cs="Arial"/>
                <w:bCs/>
                <w:sz w:val="20"/>
                <w:szCs w:val="20"/>
              </w:rPr>
              <w:t xml:space="preserve"> </w:t>
            </w:r>
            <w:r>
              <w:rPr>
                <w:rFonts w:ascii="Century Gothic" w:hAnsi="Century Gothic" w:cs="Arial"/>
                <w:bCs/>
                <w:i/>
                <w:sz w:val="20"/>
                <w:szCs w:val="20"/>
              </w:rPr>
              <w:t>Información relevante. - Para efectos de publicidad y política de gobierno</w:t>
            </w:r>
          </w:p>
          <w:p w14:paraId="0A25D04C"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abierto de los procedimientos de contratación en el Portal de Contratación Pública, se entenderá como información relevante la siguiente:</w:t>
            </w:r>
          </w:p>
          <w:p w14:paraId="67B4B2B2"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 Informe de necesidad de la contratación;</w:t>
            </w:r>
          </w:p>
          <w:p w14:paraId="1A38549F"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 Proformas y cotizaciones recibidas en la fase preparatoria para la elaboración del instrumento de determinación del presupuesto referencial;</w:t>
            </w:r>
          </w:p>
          <w:p w14:paraId="7E131832"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 Instrumento de determinación del presupuesto referencial;</w:t>
            </w:r>
          </w:p>
          <w:p w14:paraId="3D943E76"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4. Estudios de desagregación tecnológica, en caso de ser requerido;</w:t>
            </w:r>
          </w:p>
          <w:p w14:paraId="7B2CF7ED"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5. Estudios, diseños o proyectos;</w:t>
            </w:r>
          </w:p>
          <w:p w14:paraId="07302EBF"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6. Términos de referencia y/o especificaciones técnicas;</w:t>
            </w:r>
          </w:p>
          <w:p w14:paraId="5E7DFB60"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7. Certificación PAC;</w:t>
            </w:r>
          </w:p>
          <w:p w14:paraId="22216F3D"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8. Certificación presupuestaria;</w:t>
            </w:r>
          </w:p>
          <w:p w14:paraId="77B53712"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9. En los procedimientos de arrendamiento de bienes inmuebles, la respectiva autorización emitida por el ente regulador de gestión inmobiliaria del sector público para el inicio del procedimiento de arrendamiento, en los casos que corresponda; y, prórroga y/o renovación de los contratos, de ser procedente.</w:t>
            </w:r>
          </w:p>
          <w:p w14:paraId="7E0EAB6A"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10. Invitación a proveedores, de ser el caso;</w:t>
            </w:r>
          </w:p>
          <w:p w14:paraId="13D307B5" w14:textId="77777777" w:rsidR="00D1550A"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11. Pliegos;</w:t>
            </w:r>
          </w:p>
          <w:p w14:paraId="21DB6A85"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12. Resolución de inicio, aprobación de pliegos y de cronograma (convocatoria);</w:t>
            </w:r>
          </w:p>
          <w:p w14:paraId="799239E5"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13. Preguntas, respuestas y aclaraciones de los procedimientos de contratación;</w:t>
            </w:r>
          </w:p>
          <w:p w14:paraId="79C3EE43"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14. Actas (preguntas, respuestas y aclaraciones, apertura de las ofertas; convalidación de errores;</w:t>
            </w:r>
          </w:p>
          <w:p w14:paraId="6C988C14"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calificación, y acta de negoción, en los casos que corresponda), y demás documentación precontractual;</w:t>
            </w:r>
          </w:p>
          <w:p w14:paraId="3342D254"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15. Informe de evaluación de las ofertas realizado por la Comisión Técnica o el servidor designado para el efecto, en el que se recomiende a la máxima autoridad o su delegado de forma expresa, la adjudicación o la declaratoria de desierto, según sea el caso;</w:t>
            </w:r>
          </w:p>
          <w:p w14:paraId="258BAC1F"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16. Oficios y comunicaciones remitidos por el SERCOP respecto a las acciones de supervisión y control realizados a procedimientos de contratación;</w:t>
            </w:r>
          </w:p>
          <w:p w14:paraId="7A56DF4D"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17. Resolución de adjudicación o declaratoria de desierto o cancelación;</w:t>
            </w:r>
          </w:p>
          <w:p w14:paraId="71C17618"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18. Oferta del oferente ganador, la cual será publicada conjuntamente con la calificación de</w:t>
            </w:r>
          </w:p>
          <w:p w14:paraId="25DC70EE"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lastRenderedPageBreak/>
              <w:t xml:space="preserve">ofertas, o con la adjudicación en el caso de subasta inversa electrónica, u otros procedimientos que defina el SERCOP;</w:t>
            </w:r>
          </w:p>
          <w:p w14:paraId="14E517D5"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19. De ser el caso, la resolución de declaratoria de adjudicatario fallido, y la respectiva notificación;</w:t>
            </w:r>
          </w:p>
          <w:p w14:paraId="33CFF0CA"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20. Reclamos o recursos presentados;</w:t>
            </w:r>
          </w:p>
          <w:p w14:paraId="4B5547E1"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21. La resolución o pronunciamiento final de los reclamos o recursos presentados;</w:t>
            </w:r>
          </w:p>
          <w:p w14:paraId="21B35C0E"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22. Contrato y su protocolización, de ser el caso, y los documentos que acrediten la calidad de los comparecientes;</w:t>
            </w:r>
          </w:p>
          <w:p w14:paraId="78DF4C57"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23. Garantías;</w:t>
            </w:r>
          </w:p>
          <w:p w14:paraId="29809BD8"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24. Contratos complementarios, modificatorios, o adendas modificatorias, de haberse suscrito;</w:t>
            </w:r>
          </w:p>
          <w:p w14:paraId="45E77939"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25. Documento de aprobación de la entidad contratante para la subcontratación, en los casos que corresponda;</w:t>
            </w:r>
          </w:p>
          <w:p w14:paraId="5C224BAF"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26. Actas y documentos relacionados con la suspensión y prórrogas del contrato;</w:t>
            </w:r>
          </w:p>
          <w:p w14:paraId="2ABE5975"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27. Comunicaciones al contratista respecto de la aplicación de multas u otras sanciones; y, acto administrativo de multa o sanción;</w:t>
            </w:r>
          </w:p>
          <w:p w14:paraId="637AB205"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28. Cronogramas de ejecución de actividades contractuales y de pagos;</w:t>
            </w:r>
          </w:p>
          <w:p w14:paraId="750C65D2"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29. Comprobante de pagos realizados;</w:t>
            </w:r>
          </w:p>
          <w:p w14:paraId="77AB1ABA"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30. Informe previo a la recepción provisional y final, de ser el caso, actas de entrega recepción, o actos administrativos relacionados con la terminación del contrato;</w:t>
            </w:r>
          </w:p>
          <w:p w14:paraId="7A2D5212"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31. En caso de terminar unilateralmente el contrato, se deberá publicar la siguiente documentación:</w:t>
            </w:r>
          </w:p>
          <w:p w14:paraId="37B26A29"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a) Informes técnico, económico y jurídico;</w:t>
            </w:r>
          </w:p>
          <w:p w14:paraId="529F76D8"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b) Notificación de la decisión de terminación unilateral;</w:t>
            </w:r>
          </w:p>
          <w:p w14:paraId="4A9F0F0A"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 Resolución de terminación unilateral del contrato; y,</w:t>
            </w:r>
          </w:p>
          <w:p w14:paraId="5310D2EA"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 Notificación de la resolución de terminación unilateral del contrato realizada al menos</w:t>
            </w:r>
          </w:p>
          <w:p w14:paraId="47784482"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por uno de los medios aceptados por la normativa vigente;</w:t>
            </w:r>
          </w:p>
          <w:p w14:paraId="6BE8FF79"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32. En caso de terminar el contrato por mutuo acuerdo, se publicará el acuerdo de terminación</w:t>
            </w:r>
          </w:p>
          <w:p w14:paraId="649DB366"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de mutuo acuerdo del contrato, así como los informes técnicos y económicos</w:t>
            </w:r>
          </w:p>
          <w:p w14:paraId="10F8465F"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correspondientes;</w:t>
            </w:r>
          </w:p>
          <w:p w14:paraId="1FB056B9"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33. Certificado de cumplimiento otorgado por la UAFE, y presentado por el contratista en la fase contractual, cuando sea el caso;</w:t>
            </w:r>
          </w:p>
          <w:p w14:paraId="4AFBB120" w14:textId="77777777" w:rsidR="00D1550A" w:rsidRPr="00B137A1"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34. En los procedimientos de contratación para la ejecución de obras se publicará, además: orden de inicio de trabajos; órdenes de cambio y diferencias en cantidades de obras, diferencias de rubros existentes o creación de rubros nuevos; certificación de disponibilidad presupuestaria, de ser el caso; y, decisiones adoptadas por la Junta de Resolución de Disputas cuando sea procedente; y,</w:t>
            </w:r>
          </w:p>
          <w:p w14:paraId="34C70220" w14:textId="77777777" w:rsidR="00D1550A"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35. Cualquier documento adicional que la entidad contratante considere pertinente.</w:t>
            </w:r>
          </w:p>
          <w:p w14:paraId="51A955DF" w14:textId="77777777" w:rsidR="00D1550A" w:rsidRPr="00B137A1" w:rsidRDefault="00D1550A" w:rsidP="00D1550A">
            <w:pPr>
              <w:autoSpaceDE w:val="0"/>
              <w:autoSpaceDN w:val="0"/>
              <w:adjustRightInd w:val="0"/>
              <w:jc w:val="both"/>
              <w:rPr>
                <w:rFonts w:ascii="Century Gothic" w:hAnsi="Century Gothic" w:cs="Arial"/>
                <w:bCs/>
                <w:i/>
                <w:sz w:val="20"/>
                <w:szCs w:val="20"/>
              </w:rPr>
            </w:pPr>
          </w:p>
          <w:p w14:paraId="68503A74" w14:textId="77777777" w:rsidR="00D1550A"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 información relativa a los proveedores invitados será generada por el propio sistema y se mantendrá disponible de manera pública en el Portal de Contratación Pública.</w:t>
            </w:r>
          </w:p>
          <w:p w14:paraId="68DF6A4D" w14:textId="77777777" w:rsidR="00D1550A" w:rsidRPr="00B137A1" w:rsidRDefault="00D1550A" w:rsidP="00D1550A">
            <w:pPr>
              <w:autoSpaceDE w:val="0"/>
              <w:autoSpaceDN w:val="0"/>
              <w:adjustRightInd w:val="0"/>
              <w:jc w:val="both"/>
              <w:rPr>
                <w:rFonts w:ascii="Century Gothic" w:hAnsi="Century Gothic" w:cs="Arial"/>
                <w:bCs/>
                <w:i/>
                <w:sz w:val="20"/>
                <w:szCs w:val="20"/>
              </w:rPr>
            </w:pPr>
          </w:p>
          <w:p w14:paraId="5DFDF6F8" w14:textId="77777777" w:rsidR="00D1550A"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Cualquier actuación administrativa que se efectúe por delegación, deberá contener la mención expresa del instrumento que otorgó la delegación y por el cual se actúa.</w:t>
            </w:r>
          </w:p>
          <w:p w14:paraId="72F8709E" w14:textId="77777777" w:rsidR="00D1550A" w:rsidRPr="00B137A1" w:rsidRDefault="00D1550A" w:rsidP="00D1550A">
            <w:pPr>
              <w:autoSpaceDE w:val="0"/>
              <w:autoSpaceDN w:val="0"/>
              <w:adjustRightInd w:val="0"/>
              <w:jc w:val="both"/>
              <w:rPr>
                <w:rFonts w:ascii="Century Gothic" w:hAnsi="Century Gothic" w:cs="Arial"/>
                <w:bCs/>
                <w:i/>
                <w:sz w:val="20"/>
                <w:szCs w:val="20"/>
              </w:rPr>
            </w:pPr>
          </w:p>
          <w:p w14:paraId="40054626" w14:textId="77777777" w:rsidR="00D1550A"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Toda la información relacionada con la fase contractual deberá publicarse, preferentemente, en el momento que se genere y suscriba la documentación relevante.</w:t>
            </w:r>
          </w:p>
          <w:p w14:paraId="2560F73F" w14:textId="77777777" w:rsidR="00D1550A" w:rsidRPr="00B137A1" w:rsidRDefault="00D1550A" w:rsidP="00D1550A">
            <w:pPr>
              <w:autoSpaceDE w:val="0"/>
              <w:autoSpaceDN w:val="0"/>
              <w:adjustRightInd w:val="0"/>
              <w:jc w:val="both"/>
              <w:rPr>
                <w:rFonts w:ascii="Century Gothic" w:hAnsi="Century Gothic" w:cs="Arial"/>
                <w:bCs/>
                <w:i/>
                <w:sz w:val="20"/>
                <w:szCs w:val="20"/>
              </w:rPr>
            </w:pPr>
          </w:p>
          <w:p w14:paraId="13FA04C1" w14:textId="77777777" w:rsidR="00D1550A"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El Servicio Nacional de Contratación Pública podrá calificar otros documentos como información relevante que deberá ser publicada en el Portal.</w:t>
            </w:r>
          </w:p>
          <w:p w14:paraId="799523EC" w14:textId="77777777" w:rsidR="00D1550A" w:rsidRPr="00B137A1" w:rsidRDefault="00D1550A" w:rsidP="00D1550A">
            <w:pPr>
              <w:autoSpaceDE w:val="0"/>
              <w:autoSpaceDN w:val="0"/>
              <w:adjustRightInd w:val="0"/>
              <w:jc w:val="both"/>
              <w:rPr>
                <w:rFonts w:ascii="Century Gothic" w:hAnsi="Century Gothic" w:cs="Arial"/>
                <w:bCs/>
                <w:i/>
                <w:sz w:val="20"/>
                <w:szCs w:val="20"/>
              </w:rPr>
            </w:pPr>
          </w:p>
          <w:p w14:paraId="698FFD55" w14:textId="77777777" w:rsidR="00D1550A"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Las actuaciones registradas en el Portal de Contratación Pública tendrán plena validez jurídica y valor probatorio.</w:t>
            </w:r>
          </w:p>
          <w:p w14:paraId="53F69599" w14:textId="77777777" w:rsidR="00D1550A" w:rsidRPr="00B137A1" w:rsidRDefault="00D1550A" w:rsidP="00D1550A">
            <w:pPr>
              <w:autoSpaceDE w:val="0"/>
              <w:autoSpaceDN w:val="0"/>
              <w:adjustRightInd w:val="0"/>
              <w:jc w:val="both"/>
              <w:rPr>
                <w:rFonts w:ascii="Century Gothic" w:hAnsi="Century Gothic" w:cs="Arial"/>
                <w:bCs/>
                <w:i/>
                <w:sz w:val="20"/>
                <w:szCs w:val="20"/>
              </w:rPr>
            </w:pPr>
          </w:p>
          <w:p w14:paraId="35D5E1C1" w14:textId="77777777" w:rsidR="00D1550A" w:rsidRDefault="00D1550A" w:rsidP="00D1550A">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Es obligación de la entidad contratante el cumplimiento del cronograma establecido en el Portal de Contratación Pública, durante la fase precontractual, así como la publicación de la información de las otras fases de la contratación conforme lo previsto en el presente Reglamento.</w:t>
            </w:r>
          </w:p>
          <w:p w14:paraId="6942746A" w14:textId="77777777" w:rsidR="00D1550A" w:rsidRPr="009C3A0E" w:rsidRDefault="00D1550A" w:rsidP="00D1550A">
            <w:pPr>
              <w:autoSpaceDE w:val="0"/>
              <w:autoSpaceDN w:val="0"/>
              <w:adjustRightInd w:val="0"/>
              <w:jc w:val="both"/>
              <w:rPr>
                <w:rFonts w:ascii="Century Gothic" w:hAnsi="Century Gothic" w:cs="Arial"/>
                <w:bCs/>
                <w:sz w:val="20"/>
                <w:szCs w:val="20"/>
              </w:rPr>
            </w:pPr>
          </w:p>
          <w:p w14:paraId="3578F567" w14:textId="77777777" w:rsidR="00D1550A" w:rsidRPr="00596946" w:rsidRDefault="00D1550A" w:rsidP="00D1550A">
            <w:pPr>
              <w:autoSpaceDE w:val="0"/>
              <w:autoSpaceDN w:val="0"/>
              <w:adjustRightInd w:val="0"/>
              <w:jc w:val="both"/>
              <w:rPr>
                <w:rFonts w:ascii="Century Gothic" w:hAnsi="Century Gothic" w:cs="Calibri"/>
                <w:color w:val="000000"/>
                <w:sz w:val="20"/>
                <w:szCs w:val="20"/>
                <w:lang w:eastAsia="es-EC"/>
              </w:rPr>
            </w:pPr>
            <w:r>
              <w:rPr>
                <w:rFonts w:ascii="Century Gothic" w:hAnsi="Century Gothic" w:cs="Arial"/>
                <w:b/>
                <w:bCs/>
                <w:sz w:val="20"/>
                <w:szCs w:val="20"/>
              </w:rPr>
              <w:t>Art. 76.-</w:t>
            </w:r>
            <w:r>
              <w:rPr>
                <w:rFonts w:ascii="Century Gothic" w:hAnsi="Century Gothic" w:cs="Arial"/>
                <w:bCs/>
                <w:sz w:val="20"/>
                <w:szCs w:val="20"/>
              </w:rPr>
              <w:t xml:space="preserve"> </w:t>
            </w:r>
            <w:r>
              <w:rPr>
                <w:rFonts w:ascii="Century Gothic" w:hAnsi="Century Gothic" w:cs="Calibri"/>
                <w:color w:val="000000"/>
                <w:sz w:val="20"/>
                <w:szCs w:val="20"/>
                <w:lang w:eastAsia="es-EC"/>
              </w:rPr>
              <w:t xml:space="preserve">Formulación de las especificaciones técnicas y términos de referencia. – Antes de iniciar un procedimiento de contratación pública, la entidad contratante deberá contar con las especificaciones </w:t>
              <w:lastRenderedPageBreak/>
              <w:t>técnicas de los bienes o rubros requeridos; o, los términos de referencia para servicios, incluidos los de consultoría, de conformidad con lo que establezcan los análisis, diseños, diagnósticos, o estudios con los que, como condición previa, debe contar la entidad contratante.</w:t>
            </w:r>
          </w:p>
          <w:p w14:paraId="7C6B43A9" w14:textId="77777777" w:rsidR="00D1550A" w:rsidRPr="00596946" w:rsidRDefault="00D1550A" w:rsidP="00D1550A">
            <w:pPr>
              <w:autoSpaceDE w:val="0"/>
              <w:autoSpaceDN w:val="0"/>
              <w:adjustRightInd w:val="0"/>
              <w:jc w:val="both"/>
              <w:rPr>
                <w:rFonts w:ascii="Century Gothic" w:hAnsi="Century Gothic" w:cs="Calibri"/>
                <w:color w:val="000000"/>
                <w:sz w:val="20"/>
                <w:szCs w:val="20"/>
                <w:lang w:eastAsia="es-EC"/>
              </w:rPr>
            </w:pPr>
          </w:p>
          <w:p w14:paraId="3A0FA308" w14:textId="77777777" w:rsidR="00D1550A" w:rsidRPr="00596946" w:rsidRDefault="00D1550A" w:rsidP="00D1550A">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Se entenderá como especificación técnica, a las características fundamentales que deberán cumplir los bienes o rubros requeridos, mientras que los términos de referencia constituirán las condiciones específicas bajo las cuales se desarrollará la consultoría o se prestarán los servicios. La contratación de servicios incluido consultoría estará sujeta a la formulación de términos de referencia. No obstante, atendiendo a la naturaleza del servicio requerido, se podrán incorporar adicionalmente especificaciones técnicas relativas a los bienes necesarios para su ejecución, siempre y cuando no se modifique el objeto de contratación, por tanto, esta variación solo podrá repotenciar o mejorar el objeto de contratación previamente delimitado. </w:t>
            </w:r>
          </w:p>
          <w:p w14:paraId="04EE2E78"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
                <w:bCs/>
                <w:sz w:val="20"/>
                <w:szCs w:val="20"/>
              </w:rPr>
              <w:t>Art. 77.-</w:t>
            </w:r>
            <w:r>
              <w:rPr>
                <w:rFonts w:ascii="Century Gothic" w:hAnsi="Century Gothic" w:cs="Arial"/>
                <w:bCs/>
                <w:sz w:val="20"/>
                <w:szCs w:val="20"/>
              </w:rPr>
              <w:t xml:space="preserve"> Especificaciones técnicas. - Para la elaboración de las especificaciones técnicas se considerará lo siguiente:</w:t>
            </w:r>
          </w:p>
          <w:p w14:paraId="40796CCA"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Deben ser claras, completas e inequívocas; no deben presentar ambigüedades, ni contradicciones que puedan propiciar diferentes interpretaciones en una misma disposición, ni indicaciones parciales.</w:t>
            </w:r>
          </w:p>
          <w:p w14:paraId="0D4F47E5"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1. Para el caso de bienes, se establecerán en función de las propiedades de su uso y empleo, así como de sus características fundamentales, requisitos funcionales o tecnológicos, atendiendo los conceptos de capacidad, calidad y/o rendimiento, y de sostenibilidad en lo que fuera aplicable, para los que, de existir, se utilizarán rasgos técnicos, requisitos, símbolos y términos estandarizados;</w:t>
            </w:r>
          </w:p>
          <w:p w14:paraId="3585CCBF"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2. No se podrá hacer referencia a marcas de fábrica o de comercio, nombres o tipos comerciales, patentes, derechos de autor, diseños o tipos particulares, ni a determinados orígenes, productores o proveedores. Excepcionalmente, y de manera justificada, se podrá hacer dichas referencias para: la adquisición de repuestos o accesorios; y, en las contrataciones que impliquen el desarrollo o mejora de tecnologías ya existentes en la entidad contratante, como la utilización de patentes o marcas exclusivas o tecnologías que no admitan otras alternativas técnicas, en los casos que sea aplicable, la entidad hará constar en el pliego la expresión "o equivalente" u otra similar;</w:t>
            </w:r>
          </w:p>
          <w:p w14:paraId="690C89D6"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En este caso, la entidad contratante deberá publicar la información respecto a la tecnológica existente y/o maquinaria, la cual deberá plasmarse en un informe técnico debidamente suscrito, el cual será publicado como información relevante.</w:t>
            </w:r>
          </w:p>
          <w:p w14:paraId="2110B767"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3. Para el caso de obras, se establecerán para cada uno de los rubros y materiales del proyecto, atendiendo los aspectos de diseño y constructivos. Exceptúese de esta disposición, los contratos de obra bajo la modalidad ingeniería, procura y construcción donde las especificaciones técnicas se basarán solamente en las normas o reglamentos técnicos nacionales, y en ausencia de estos, en los instrumentos internacionales similares, en lo que fuera aplicable.</w:t>
            </w:r>
          </w:p>
          <w:p w14:paraId="1958AA09"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4. Las especificaciones técnicas se basarán en las normas o reglamentos técnicos nacionales, y en ausencia de estos, en los instrumentos internacionales similares, en lo que fuera aplicable;</w:t>
            </w:r>
          </w:p>
          <w:p w14:paraId="797FD6E9"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5. No se podrá establecer o exigir especificaciones, condicionamientos o requerimientos técnicos que no pueda cumplir la oferta nacional, salvo justificación funcional debidamente motivada; y,</w:t>
            </w:r>
          </w:p>
          <w:p w14:paraId="386498F6"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6. Las especificaciones técnicas se establecerán con relación exclusiva a los bienes o rubros de obras integrantes del objeto del procedimiento y no con relación a los proveedores.</w:t>
            </w:r>
          </w:p>
          <w:p w14:paraId="064CFA00"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7. Las especificaciones técnicas deberán contener como mínimo en el caso de que corresponda los siguiente:</w:t>
            </w:r>
          </w:p>
          <w:p w14:paraId="521F834D"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a) Alcance;</w:t>
            </w:r>
          </w:p>
          <w:p w14:paraId="1DFD0EBF"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lastRenderedPageBreak/>
              <w:t>b) Plazo de ejecución: parciales y/o total;</w:t>
            </w:r>
          </w:p>
          <w:p w14:paraId="102B6CD6"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c) Personal técnico/equipo de trabajo/recursos según corresponda, y de ser pertinente;</w:t>
            </w:r>
          </w:p>
          <w:p w14:paraId="6CFB111A"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d) Forma y condiciones de pago;</w:t>
            </w:r>
          </w:p>
          <w:p w14:paraId="76CBF798"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e) Lugar de entrega;</w:t>
            </w:r>
          </w:p>
          <w:p w14:paraId="09E68AD1"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f) Multas;</w:t>
            </w:r>
          </w:p>
          <w:p w14:paraId="6C682C7F"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g) Obligaciones de las partes;</w:t>
            </w:r>
          </w:p>
          <w:p w14:paraId="737FE34B"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h) Garantías técnicas, en el caso que aplique; y,</w:t>
            </w:r>
          </w:p>
          <w:p w14:paraId="0C3FA877" w14:textId="77777777" w:rsidR="00D1550A" w:rsidRPr="006C4F8B" w:rsidRDefault="00D1550A" w:rsidP="00D1550A">
            <w:pPr>
              <w:spacing w:before="240"/>
              <w:jc w:val="both"/>
              <w:rPr>
                <w:rFonts w:ascii="Century Gothic" w:hAnsi="Century Gothic" w:cs="Arial"/>
                <w:bCs/>
                <w:sz w:val="20"/>
                <w:szCs w:val="20"/>
              </w:rPr>
            </w:pPr>
            <w:r>
              <w:rPr>
                <w:rFonts w:ascii="Century Gothic" w:hAnsi="Century Gothic" w:cs="Arial"/>
                <w:bCs/>
                <w:sz w:val="20"/>
                <w:szCs w:val="20"/>
              </w:rPr>
              <w:t>i) Parámetros evaluación y calificación según corresponda”.</w:t>
            </w:r>
          </w:p>
          <w:p w14:paraId="6281870E" w14:textId="46D4A8CC" w:rsidR="00C87818" w:rsidRDefault="00495849" w:rsidP="00DB494F">
            <w:pPr>
              <w:spacing w:before="240"/>
              <w:jc w:val="both"/>
              <w:rPr>
                <w:rFonts w:ascii="Century Gothic" w:hAnsi="Century Gothic" w:cs="Arial"/>
                <w:bCs/>
                <w:i/>
                <w:sz w:val="20"/>
                <w:szCs w:val="20"/>
              </w:rPr>
            </w:pPr>
            <w:r>
              <w:rPr>
                <w:rFonts w:ascii="Century Gothic" w:hAnsi="Century Gothic" w:cs="Arial"/>
                <w:b/>
                <w:bCs/>
                <w:sz w:val="20"/>
                <w:szCs w:val="20"/>
              </w:rPr>
              <w:t>“Art.173</w:t>
            </w:r>
            <w:r>
              <w:rPr>
                <w:rFonts w:ascii="Century Gothic" w:hAnsi="Century Gothic" w:cs="Arial"/>
                <w:bCs/>
                <w:sz w:val="20"/>
                <w:szCs w:val="20"/>
              </w:rPr>
              <w:t xml:space="preserve">.- </w:t>
            </w:r>
            <w:r>
              <w:rPr>
                <w:rFonts w:ascii="Century Gothic" w:hAnsi="Century Gothic" w:cs="Arial"/>
                <w:bCs/>
                <w:i/>
                <w:sz w:val="20"/>
                <w:szCs w:val="20"/>
              </w:rPr>
              <w:t xml:space="preserve">Compra por Catálogo. - Las entidades contratantes podrán contratar bienes y servicios a través del procedimiento de Compras por Catálogo o simplemente “Catálogo Electrónico”, el cual estará compuesto por las modalidades de Catálogo General y Catálogo Dinámico Inclusivo. En este procedimiento no será necesario la elaboración de estudios de mercado, ni pliegos por parte de la entidad contratante…”. </w:t>
            </w:r>
          </w:p>
          <w:p w14:paraId="1E27183A" w14:textId="77777777" w:rsidR="00C87818" w:rsidRDefault="00C87818" w:rsidP="00C87818">
            <w:pPr>
              <w:jc w:val="both"/>
              <w:rPr>
                <w:rFonts w:ascii="Century Gothic" w:hAnsi="Century Gothic" w:cs="Arial"/>
                <w:b/>
                <w:bCs/>
                <w:sz w:val="20"/>
                <w:szCs w:val="20"/>
                <w:highlight w:val="yellow"/>
              </w:rPr>
            </w:pPr>
          </w:p>
          <w:p w14:paraId="6B7F30E8" w14:textId="472E1E42" w:rsidR="000A4BDD" w:rsidRDefault="00C87818" w:rsidP="000A4BDD">
            <w:pPr>
              <w:jc w:val="both"/>
              <w:rPr>
                <w:rFonts w:ascii="Century Gothic" w:hAnsi="Century Gothic" w:cs="Arial"/>
                <w:bCs/>
                <w:i/>
                <w:sz w:val="20"/>
                <w:szCs w:val="20"/>
              </w:rPr>
            </w:pPr>
            <w:r>
              <w:rPr>
                <w:rFonts w:ascii="Century Gothic" w:hAnsi="Century Gothic" w:cs="Arial"/>
                <w:b/>
                <w:bCs/>
                <w:sz w:val="20"/>
                <w:szCs w:val="20"/>
              </w:rPr>
              <w:t>Art.174.-</w:t>
            </w:r>
            <w:r>
              <w:rPr>
                <w:rFonts w:ascii="Century Gothic" w:hAnsi="Century Gothic" w:cs="Arial"/>
                <w:bCs/>
                <w:sz w:val="20"/>
                <w:szCs w:val="20"/>
              </w:rPr>
              <w:t xml:space="preserve"> </w:t>
            </w:r>
            <w:r>
              <w:rPr>
                <w:rFonts w:ascii="Century Gothic" w:hAnsi="Century Gothic" w:cs="Arial"/>
                <w:bCs/>
                <w:i/>
                <w:sz w:val="20"/>
                <w:szCs w:val="20"/>
              </w:rPr>
              <w:t xml:space="preserve">Autorización para la adquisición de bienes o servicios por fuera del Catálogo Electrónico. - En caso de que la entidad contratante determine la existencia de las causales previstas en el artículo 46 de la Ley, seguirá el siguiente procedimiento:</w:t>
            </w:r>
          </w:p>
          <w:p w14:paraId="15650904" w14:textId="77777777" w:rsidR="000A4BDD" w:rsidRPr="000A4BDD" w:rsidRDefault="000A4BDD" w:rsidP="000A4BDD">
            <w:pPr>
              <w:jc w:val="both"/>
              <w:rPr>
                <w:rFonts w:ascii="Century Gothic" w:hAnsi="Century Gothic" w:cs="Arial"/>
                <w:bCs/>
                <w:i/>
                <w:sz w:val="20"/>
                <w:szCs w:val="20"/>
              </w:rPr>
            </w:pPr>
          </w:p>
          <w:p w14:paraId="08A5749E" w14:textId="0B887E65" w:rsidR="000A4BDD" w:rsidRPr="000A4BDD"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1.- La máxima autoridad de la entidad contratante o su delegado, remitirá al SERCOP la solicitud de autorización, a la cual acompañará el informe técnico-económico que sustente las causales previstas en el artículo 46 de la Ley, así como las especificaciones técnicas del bien o TDRs del servicio con las correspondientes firmas de responsabilidad, en donde se evidencie el presupuesto referencial, de ser el caso, y el tipo de procedimiento de contratación que utilizará la entidad para adquirir los bienes y/o servicios. En dicho informe deberá constar la partida presupuestaria y el código CPC nivel nueve;</w:t>
            </w:r>
          </w:p>
          <w:p w14:paraId="1E027B44" w14:textId="77777777" w:rsidR="000A4BDD" w:rsidRPr="000A4BDD" w:rsidRDefault="000A4BDD" w:rsidP="000A4BDD">
            <w:pPr>
              <w:jc w:val="both"/>
              <w:rPr>
                <w:rFonts w:ascii="Century Gothic" w:hAnsi="Century Gothic" w:cs="Arial"/>
                <w:bCs/>
                <w:i/>
                <w:sz w:val="20"/>
                <w:szCs w:val="20"/>
              </w:rPr>
            </w:pPr>
          </w:p>
          <w:p w14:paraId="208901F6" w14:textId="07472E49" w:rsidR="000A4BDD"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2. En caso de que la entidad requiera un lote de bienes o servicios y no se identifique el CPC en el sistema, deberá elegir un CPC relacionado a cada producto; la entidad podrá ingresar el número de CPC que desee en una sola solicitud para un procedimiento de contratación;</w:t>
            </w:r>
          </w:p>
          <w:p w14:paraId="50C757D2" w14:textId="77777777" w:rsidR="003D459A" w:rsidRPr="000A4BDD" w:rsidRDefault="003D459A" w:rsidP="000A4BDD">
            <w:pPr>
              <w:jc w:val="both"/>
              <w:rPr>
                <w:rFonts w:ascii="Century Gothic" w:hAnsi="Century Gothic" w:cs="Arial"/>
                <w:bCs/>
                <w:i/>
                <w:sz w:val="20"/>
                <w:szCs w:val="20"/>
              </w:rPr>
            </w:pPr>
          </w:p>
          <w:p w14:paraId="19DE28B4" w14:textId="11338467" w:rsidR="000A4BDD"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3. Cuando la entidad contratante genere varios CPCs en una solicitud podrá cargar un documento por cada CPC donde contengan las especificaciones técnicas o términos de referencia de los bienes o servicios requeridos, o en su caso podrá cargar un solo documento donde incorpore todas las especificaciones técnicas o términos de referencia de todos los CPCs;</w:t>
            </w:r>
          </w:p>
          <w:p w14:paraId="006B2C41" w14:textId="77777777" w:rsidR="003D459A" w:rsidRPr="000A4BDD" w:rsidRDefault="003D459A" w:rsidP="000A4BDD">
            <w:pPr>
              <w:jc w:val="both"/>
              <w:rPr>
                <w:rFonts w:ascii="Century Gothic" w:hAnsi="Century Gothic" w:cs="Arial"/>
                <w:bCs/>
                <w:i/>
                <w:sz w:val="20"/>
                <w:szCs w:val="20"/>
              </w:rPr>
            </w:pPr>
          </w:p>
          <w:p w14:paraId="4EDFF785" w14:textId="37E122F8" w:rsidR="000A4BDD" w:rsidRPr="000A4BDD"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4. El SERCOP, en el término máximo de tres (3) días, contados a partir de la presentación de la solicitud, podrá solicitar a la entidad contratante las aclaraciones a la información técnico y/o económica que considere pertinentes;</w:t>
            </w:r>
          </w:p>
          <w:p w14:paraId="5A35E7D1" w14:textId="77777777" w:rsidR="003D459A" w:rsidRDefault="003D459A" w:rsidP="000A4BDD">
            <w:pPr>
              <w:jc w:val="both"/>
              <w:rPr>
                <w:rFonts w:ascii="Century Gothic" w:hAnsi="Century Gothic" w:cs="Arial"/>
                <w:bCs/>
                <w:i/>
                <w:sz w:val="20"/>
                <w:szCs w:val="20"/>
              </w:rPr>
            </w:pPr>
          </w:p>
          <w:p w14:paraId="6E2BA44A" w14:textId="51EAEA02" w:rsidR="000A4BDD"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5. La entidad contratante, en el término máximo de dos (2) días desde la solicitud del SERCOP, deberá presentar las aclaraciones técnicas y/o económicas requeridas;</w:t>
            </w:r>
          </w:p>
          <w:p w14:paraId="3C2032C2" w14:textId="77777777" w:rsidR="003D459A" w:rsidRPr="000A4BDD" w:rsidRDefault="003D459A" w:rsidP="000A4BDD">
            <w:pPr>
              <w:jc w:val="both"/>
              <w:rPr>
                <w:rFonts w:ascii="Century Gothic" w:hAnsi="Century Gothic" w:cs="Arial"/>
                <w:bCs/>
                <w:i/>
                <w:sz w:val="20"/>
                <w:szCs w:val="20"/>
              </w:rPr>
            </w:pPr>
          </w:p>
          <w:p w14:paraId="3AE800BC" w14:textId="7ECD8A84" w:rsidR="000A4BDD"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6. En el término máximo de siete (7) días, contados a partir de la presentación de la solicitud inicial, el SERCOP emitirá su pronunciamiento definitivo, autorizando o negando, de manera motivada, la contratación por fuera del Catálogo Electrónico;</w:t>
            </w:r>
          </w:p>
          <w:p w14:paraId="2E47E36A" w14:textId="77777777" w:rsidR="003D459A" w:rsidRPr="000A4BDD" w:rsidRDefault="003D459A" w:rsidP="000A4BDD">
            <w:pPr>
              <w:jc w:val="both"/>
              <w:rPr>
                <w:rFonts w:ascii="Century Gothic" w:hAnsi="Century Gothic" w:cs="Arial"/>
                <w:bCs/>
                <w:i/>
                <w:sz w:val="20"/>
                <w:szCs w:val="20"/>
              </w:rPr>
            </w:pPr>
          </w:p>
          <w:p w14:paraId="7B2761A0" w14:textId="67C54DB2" w:rsidR="000A4BDD" w:rsidRDefault="000A4BDD" w:rsidP="000A4BDD">
            <w:pPr>
              <w:jc w:val="both"/>
              <w:rPr>
                <w:rFonts w:ascii="Century Gothic" w:hAnsi="Century Gothic" w:cs="Arial"/>
                <w:bCs/>
                <w:i/>
                <w:sz w:val="20"/>
                <w:szCs w:val="20"/>
              </w:rPr>
            </w:pPr>
            <w:r>
              <w:rPr>
                <w:rFonts w:ascii="Century Gothic" w:hAnsi="Century Gothic" w:cs="Arial"/>
                <w:bCs/>
                <w:i/>
                <w:sz w:val="20"/>
                <w:szCs w:val="20"/>
              </w:rPr>
              <w:lastRenderedPageBreak/>
              <w:t xml:space="preserve">7. En caso de que el SERCOP no emita su pronunciamiento en el término señalado en el numeral precedente, se entenderá que la autorización ha sido otorgada tácitamente y procederá a desbloquear de manera inmediata el CPC restringido; y,</w:t>
            </w:r>
          </w:p>
          <w:p w14:paraId="1742850D" w14:textId="77777777" w:rsidR="003D459A" w:rsidRPr="000A4BDD" w:rsidRDefault="003D459A" w:rsidP="000A4BDD">
            <w:pPr>
              <w:jc w:val="both"/>
              <w:rPr>
                <w:rFonts w:ascii="Century Gothic" w:hAnsi="Century Gothic" w:cs="Arial"/>
                <w:bCs/>
                <w:i/>
                <w:sz w:val="20"/>
                <w:szCs w:val="20"/>
              </w:rPr>
            </w:pPr>
          </w:p>
          <w:p w14:paraId="29A211EC" w14:textId="02127C67" w:rsidR="000A4BDD"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8. En caso de haberse otorgado la autorización, la entidad contratante deberá publicarla como parte de los estudios, junto con su solicitud y el informe técnico-económico, en el Portal de Contratación Pública.</w:t>
            </w:r>
          </w:p>
          <w:p w14:paraId="1A3B277A" w14:textId="77777777" w:rsidR="003D459A" w:rsidRPr="000A4BDD" w:rsidRDefault="003D459A" w:rsidP="000A4BDD">
            <w:pPr>
              <w:jc w:val="both"/>
              <w:rPr>
                <w:rFonts w:ascii="Century Gothic" w:hAnsi="Century Gothic" w:cs="Arial"/>
                <w:bCs/>
                <w:i/>
                <w:sz w:val="20"/>
                <w:szCs w:val="20"/>
              </w:rPr>
            </w:pPr>
          </w:p>
          <w:p w14:paraId="6F2A900E" w14:textId="1000B907" w:rsidR="000A4BDD"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En los casos en que un bien o servicio se encuentre disponible en el Catálogo Dinámico Inclusivo, la entidad contratante solo podrá realizar adquisiciones por fuera de dicho catálogo de manera excepcional y exclusivamente con proveedores que pertenezcan al mismo segmento priorizado.</w:t>
            </w:r>
          </w:p>
          <w:p w14:paraId="06C6FB9E" w14:textId="77777777" w:rsidR="00EE69A4" w:rsidRPr="000A4BDD" w:rsidRDefault="00EE69A4" w:rsidP="000A4BDD">
            <w:pPr>
              <w:jc w:val="both"/>
              <w:rPr>
                <w:rFonts w:ascii="Century Gothic" w:hAnsi="Century Gothic" w:cs="Arial"/>
                <w:bCs/>
                <w:i/>
                <w:sz w:val="20"/>
                <w:szCs w:val="20"/>
              </w:rPr>
            </w:pPr>
          </w:p>
          <w:p w14:paraId="7C3A348F" w14:textId="71097666" w:rsidR="000A4BDD"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Toda contratación por fuera del Catálogo Dinámico Inclusivo será objeto de control posterior por el SERCOP, en coordinación con el ente rector de la economía popular y solidaria, a efectos de verificar el cumplimiento de esta disposición.</w:t>
            </w:r>
          </w:p>
          <w:p w14:paraId="13101354" w14:textId="77777777" w:rsidR="00EE69A4" w:rsidRPr="000A4BDD" w:rsidRDefault="00EE69A4" w:rsidP="000A4BDD">
            <w:pPr>
              <w:jc w:val="both"/>
              <w:rPr>
                <w:rFonts w:ascii="Century Gothic" w:hAnsi="Century Gothic" w:cs="Arial"/>
                <w:bCs/>
                <w:i/>
                <w:sz w:val="20"/>
                <w:szCs w:val="20"/>
              </w:rPr>
            </w:pPr>
          </w:p>
          <w:p w14:paraId="5809CCBD" w14:textId="4F4B9E45" w:rsidR="00C87818" w:rsidRPr="00142417" w:rsidRDefault="000A4BDD" w:rsidP="000A4BDD">
            <w:pPr>
              <w:jc w:val="both"/>
              <w:rPr>
                <w:rFonts w:ascii="Century Gothic" w:hAnsi="Century Gothic" w:cs="Arial"/>
                <w:bCs/>
                <w:i/>
                <w:sz w:val="20"/>
                <w:szCs w:val="20"/>
              </w:rPr>
            </w:pPr>
            <w:r>
              <w:rPr>
                <w:rFonts w:ascii="Century Gothic" w:hAnsi="Century Gothic" w:cs="Arial"/>
                <w:bCs/>
                <w:i/>
                <w:sz w:val="20"/>
                <w:szCs w:val="20"/>
              </w:rPr>
              <w:t xml:space="preserve">Se propenderá a que el procedimiento antes descrito sea tramitado por vía electrónica a través del Portal de Contratación Pública. El SERCOP, a través de la correspondiente actuación normativa, instrumentará este procedimiento, y, podrá establecer causales adicionales para solicitar esta autorización excepcional.</w:t>
            </w:r>
          </w:p>
          <w:p w14:paraId="0B005265" w14:textId="77777777" w:rsidR="00C87818" w:rsidRPr="00A76227" w:rsidRDefault="00C87818" w:rsidP="00C87818">
            <w:pPr>
              <w:jc w:val="both"/>
              <w:rPr>
                <w:rFonts w:ascii="Century Gothic" w:hAnsi="Century Gothic" w:cs="Arial"/>
                <w:bCs/>
                <w:sz w:val="20"/>
                <w:szCs w:val="20"/>
                <w:highlight w:val="yellow"/>
              </w:rPr>
            </w:pPr>
          </w:p>
          <w:p w14:paraId="6473007C" w14:textId="77777777" w:rsidR="001D46B5" w:rsidRPr="009C3A0E" w:rsidRDefault="001D46B5" w:rsidP="001D46B5">
            <w:pPr>
              <w:jc w:val="both"/>
              <w:rPr>
                <w:rFonts w:ascii="Century Gothic" w:hAnsi="Century Gothic" w:cs="Arial"/>
                <w:b/>
                <w:sz w:val="20"/>
                <w:szCs w:val="20"/>
              </w:rPr>
            </w:pPr>
            <w:r>
              <w:rPr>
                <w:rFonts w:ascii="Century Gothic" w:hAnsi="Century Gothic" w:cs="Arial"/>
                <w:b/>
                <w:sz w:val="20"/>
                <w:szCs w:val="20"/>
              </w:rPr>
              <w:t>NORMAS DE CONTROL DEL SECTOR PÚBLICO Y JURÍDICAS DE DERECHO PRIVADO</w:t>
            </w:r>
          </w:p>
          <w:p w14:paraId="2AE682D2" w14:textId="77777777" w:rsidR="001D46B5" w:rsidRPr="009C3A0E" w:rsidRDefault="001D46B5" w:rsidP="001D46B5">
            <w:pPr>
              <w:jc w:val="both"/>
              <w:rPr>
                <w:rFonts w:ascii="Century Gothic" w:hAnsi="Century Gothic" w:cs="Arial"/>
                <w:sz w:val="20"/>
                <w:szCs w:val="20"/>
              </w:rPr>
            </w:pPr>
          </w:p>
          <w:p w14:paraId="683569BC" w14:textId="77777777" w:rsidR="001D46B5" w:rsidRPr="009C3A0E" w:rsidRDefault="001D46B5" w:rsidP="001D46B5">
            <w:pPr>
              <w:jc w:val="both"/>
              <w:rPr>
                <w:rFonts w:ascii="Century Gothic" w:hAnsi="Century Gothic" w:cs="Arial"/>
                <w:i/>
                <w:sz w:val="20"/>
                <w:szCs w:val="20"/>
              </w:rPr>
            </w:pPr>
            <w:r>
              <w:rPr>
                <w:rFonts w:ascii="Century Gothic" w:hAnsi="Century Gothic" w:cs="Arial"/>
                <w:b/>
                <w:sz w:val="20"/>
                <w:szCs w:val="20"/>
              </w:rPr>
              <w:t>Norma general Nro. 406-03</w:t>
            </w:r>
            <w:r>
              <w:rPr>
                <w:rFonts w:ascii="Century Gothic" w:hAnsi="Century Gothic" w:cs="Arial"/>
                <w:sz w:val="20"/>
                <w:szCs w:val="20"/>
              </w:rPr>
              <w:t xml:space="preserve">.- “</w:t>
            </w:r>
            <w:r>
              <w:rPr>
                <w:rFonts w:ascii="Century Gothic" w:hAnsi="Century Gothic" w:cs="Arial"/>
                <w:i/>
                <w:sz w:val="20"/>
                <w:szCs w:val="20"/>
              </w:rPr>
              <w:t>Las entidades y organismos del sector público realizarán las contrataciones para adquisición o arrendamiento de bienes, ejecución de obras y prestación de servicios incluidos los de consultoría, a través del Sistema Nacional de Contratación Pública.</w:t>
            </w:r>
          </w:p>
          <w:p w14:paraId="64263B05" w14:textId="77777777" w:rsidR="001D46B5" w:rsidRPr="009C3A0E" w:rsidRDefault="001D46B5" w:rsidP="001D46B5">
            <w:pPr>
              <w:jc w:val="both"/>
              <w:rPr>
                <w:rFonts w:ascii="Century Gothic" w:hAnsi="Century Gothic" w:cs="Arial"/>
                <w:i/>
                <w:sz w:val="20"/>
                <w:szCs w:val="20"/>
              </w:rPr>
            </w:pPr>
          </w:p>
          <w:p w14:paraId="29B313F9" w14:textId="77777777" w:rsidR="001D46B5" w:rsidRPr="009C3A0E" w:rsidRDefault="001D46B5" w:rsidP="001D46B5">
            <w:pPr>
              <w:jc w:val="both"/>
              <w:rPr>
                <w:rFonts w:ascii="Century Gothic" w:hAnsi="Century Gothic" w:cs="Arial"/>
                <w:i/>
                <w:sz w:val="20"/>
                <w:szCs w:val="20"/>
              </w:rPr>
            </w:pPr>
            <w:r>
              <w:rPr>
                <w:rFonts w:ascii="Century Gothic" w:hAnsi="Century Gothic" w:cs="Arial"/>
                <w:i/>
                <w:sz w:val="20"/>
                <w:szCs w:val="20"/>
              </w:rPr>
              <w:t xml:space="preserve">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w:t>
            </w:r>
          </w:p>
          <w:p w14:paraId="5611F32D" w14:textId="77777777" w:rsidR="001D46B5" w:rsidRPr="009C3A0E" w:rsidRDefault="001D46B5" w:rsidP="001D46B5">
            <w:pPr>
              <w:jc w:val="both"/>
              <w:rPr>
                <w:rFonts w:ascii="Century Gothic" w:hAnsi="Century Gothic" w:cs="Arial"/>
                <w:i/>
                <w:sz w:val="20"/>
                <w:szCs w:val="20"/>
              </w:rPr>
            </w:pPr>
          </w:p>
          <w:p w14:paraId="09AAD646" w14:textId="77777777" w:rsidR="001D46B5" w:rsidRPr="009C3A0E" w:rsidRDefault="001D46B5" w:rsidP="001D46B5">
            <w:pPr>
              <w:jc w:val="both"/>
              <w:rPr>
                <w:rFonts w:ascii="Century Gothic" w:hAnsi="Century Gothic" w:cs="Arial"/>
                <w:i/>
                <w:sz w:val="20"/>
                <w:szCs w:val="20"/>
              </w:rPr>
            </w:pPr>
            <w:r>
              <w:rPr>
                <w:rFonts w:ascii="Century Gothic" w:hAnsi="Century Gothic" w:cs="Arial"/>
                <w:i/>
                <w:sz w:val="20"/>
                <w:szCs w:val="20"/>
              </w:rPr>
              <w:t xml:space="preserve">-Las adquisiciones serán solicitadas, autorizadas y ejecutadas con la anticipación suficiente y en las cantidades justificadas técnicamente; y, deberán considerar el tiempo que le toma a cada entidad la realización de un proceso de contratación hasta la adjudicación…”. </w:t>
            </w:r>
          </w:p>
          <w:p w14:paraId="79EAF57F" w14:textId="77777777" w:rsidR="001D46B5" w:rsidRPr="009C3A0E" w:rsidRDefault="001D46B5" w:rsidP="001D46B5">
            <w:pPr>
              <w:jc w:val="both"/>
              <w:rPr>
                <w:rFonts w:ascii="Century Gothic" w:hAnsi="Century Gothic" w:cs="Arial"/>
                <w:bCs/>
                <w:sz w:val="20"/>
                <w:szCs w:val="20"/>
                <w:highlight w:val="yellow"/>
              </w:rPr>
            </w:pPr>
          </w:p>
          <w:p w14:paraId="45D90093" w14:textId="77777777" w:rsidR="001D46B5" w:rsidRDefault="001D46B5" w:rsidP="001D46B5">
            <w:pPr>
              <w:jc w:val="both"/>
              <w:rPr>
                <w:rFonts w:ascii="Century Gothic" w:hAnsi="Century Gothic" w:cs="Arial"/>
                <w:b/>
                <w:bCs/>
                <w:sz w:val="20"/>
                <w:szCs w:val="20"/>
              </w:rPr>
            </w:pPr>
            <w:r>
              <w:rPr>
                <w:rFonts w:ascii="Century Gothic" w:hAnsi="Century Gothic" w:cs="Arial"/>
                <w:b/>
                <w:bCs/>
                <w:sz w:val="20"/>
                <w:szCs w:val="20"/>
              </w:rPr>
              <w:t xml:space="preserve">ORDENANZA SUSTITUTIVA QUE REGLAMENTA LA ORGANIZACIÓN, ADMINISTRACIÓN Y FUNCIONAMIENTO DEL CENTRO DE RESPONSABILIDAD SOCIAL Y SOLIDARIA MUNICIPAL “JORGE CAJAS GARZÓN” DEL CANTÓN SHUSHUFINDI</w:t>
            </w:r>
          </w:p>
          <w:p w14:paraId="30F7CF8F" w14:textId="77777777" w:rsidR="001D46B5" w:rsidRPr="009C3A0E" w:rsidRDefault="001D46B5" w:rsidP="001D46B5">
            <w:pPr>
              <w:spacing w:before="240"/>
              <w:jc w:val="both"/>
              <w:rPr>
                <w:rFonts w:ascii="Century Gothic" w:hAnsi="Century Gothic" w:cs="Arial"/>
                <w:i/>
                <w:sz w:val="20"/>
                <w:szCs w:val="20"/>
              </w:rPr>
            </w:pPr>
            <w:r>
              <w:rPr>
                <w:rFonts w:ascii="Century Gothic" w:hAnsi="Century Gothic" w:cs="Arial"/>
                <w:b/>
                <w:sz w:val="20"/>
                <w:szCs w:val="20"/>
              </w:rPr>
              <w:t>Art. 1.-</w:t>
            </w:r>
            <w:r>
              <w:rPr>
                <w:rFonts w:ascii="Century Gothic" w:hAnsi="Century Gothic" w:cs="Arial"/>
                <w:sz w:val="20"/>
                <w:szCs w:val="20"/>
              </w:rPr>
              <w:t xml:space="preserve"> Naturaleza Jurídica. 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p w14:paraId="2DE277B8" w14:textId="77777777" w:rsidR="001D46B5" w:rsidRPr="009C3A0E" w:rsidRDefault="001D46B5" w:rsidP="001D46B5">
            <w:pPr>
              <w:spacing w:before="240"/>
              <w:jc w:val="both"/>
              <w:rPr>
                <w:rFonts w:ascii="Century Gothic" w:hAnsi="Century Gothic" w:cs="Arial"/>
                <w:sz w:val="20"/>
                <w:szCs w:val="20"/>
              </w:rPr>
            </w:pPr>
            <w:r>
              <w:rPr>
                <w:rFonts w:ascii="Century Gothic" w:hAnsi="Century Gothic" w:cs="Arial"/>
                <w:b/>
                <w:i/>
                <w:sz w:val="20"/>
                <w:szCs w:val="20"/>
              </w:rPr>
              <w:t>Art. 28.-</w:t>
            </w:r>
            <w:r>
              <w:rPr>
                <w:rFonts w:ascii="Century Gothic" w:hAnsi="Century Gothic" w:cs="Arial"/>
                <w:i/>
                <w:sz w:val="20"/>
                <w:szCs w:val="20"/>
              </w:rPr>
              <w:t xml:space="preserve"> Son funciones del Director/a General del Centro de Responsabilidad Social y Solidaria Municipal Jorge Cajas Garzón del Cantón Shushufindi, además de las definidas en la Ley, decreto o acuerdos pertinentes, las siguientes…”.  “… 5. Efectuar la contratación de bienes y servicios que se requieran, dentro del límite de gastos autorizados, en el marco del Plan Anual de Contratación, y de forma responsable para suplir necesidades del Centro de Responsabilidad Social y Solidaria Municipal Jorge Cajas Garzón del Cantón Shushufindi…”.</w:t>
            </w:r>
            <w:r>
              <w:rPr>
                <w:rFonts w:ascii="Century Gothic" w:hAnsi="Century Gothic" w:cs="Arial"/>
                <w:sz w:val="20"/>
                <w:szCs w:val="20"/>
              </w:rPr>
              <w:t xml:space="preserve"> </w:t>
            </w:r>
          </w:p>
          <w:p w14:paraId="64178E5B" w14:textId="77777777" w:rsidR="001D46B5" w:rsidRPr="009C3A0E" w:rsidRDefault="001D46B5" w:rsidP="001D46B5">
            <w:pPr>
              <w:spacing w:before="240"/>
              <w:jc w:val="both"/>
              <w:rPr>
                <w:rFonts w:ascii="Century Gothic" w:hAnsi="Century Gothic" w:cs="Arial"/>
                <w:sz w:val="20"/>
                <w:szCs w:val="20"/>
              </w:rPr>
            </w:pPr>
          </w:p>
          <w:p w14:paraId="76BD21F5" w14:textId="77777777" w:rsidR="001D46B5" w:rsidRPr="009C3A0E" w:rsidRDefault="001D46B5" w:rsidP="001D46B5">
            <w:pPr>
              <w:jc w:val="both"/>
              <w:rPr>
                <w:rFonts w:ascii="Century Gothic" w:hAnsi="Century Gothic" w:cs="Arial"/>
                <w:b/>
                <w:sz w:val="20"/>
                <w:szCs w:val="20"/>
              </w:rPr>
            </w:pPr>
            <w:r>
              <w:rPr>
                <w:rFonts w:ascii="Century Gothic" w:hAnsi="Century Gothic" w:cs="Arial"/>
                <w:b/>
                <w:sz w:val="20"/>
                <w:szCs w:val="20"/>
              </w:rPr>
              <w:t>ORDENANZA QUE REGULA Y GARANTIZA LA CONTRATACIÓN DEL EMPLEO PREFERENTE, ADQUISICIÓN DE BIENES Y SERVICIOS DE LAS Y LOS RESIDENTES DEL CANTÓN SHUSHUFINDI.</w:t>
            </w:r>
          </w:p>
          <w:p w14:paraId="50CC993B" w14:textId="77777777" w:rsidR="001D46B5" w:rsidRDefault="001D46B5" w:rsidP="001D46B5">
            <w:pPr>
              <w:jc w:val="both"/>
              <w:rPr>
                <w:rFonts w:ascii="Century Gothic" w:hAnsi="Century Gothic" w:cs="Arial"/>
                <w:sz w:val="20"/>
                <w:szCs w:val="20"/>
              </w:rPr>
            </w:pPr>
          </w:p>
          <w:p w14:paraId="541F558F" w14:textId="77777777" w:rsidR="001D46B5" w:rsidRPr="009C3A0E" w:rsidRDefault="001D46B5" w:rsidP="001D46B5">
            <w:pPr>
              <w:jc w:val="both"/>
              <w:rPr>
                <w:rFonts w:ascii="Century Gothic" w:hAnsi="Century Gothic" w:cs="Arial"/>
                <w:sz w:val="20"/>
                <w:szCs w:val="20"/>
              </w:rPr>
            </w:pPr>
            <w:r>
              <w:rPr>
                <w:rFonts w:ascii="Century Gothic" w:hAnsi="Century Gothic" w:cs="Arial"/>
                <w:b/>
                <w:sz w:val="20"/>
                <w:szCs w:val="20"/>
              </w:rPr>
              <w:t>Art. 12.-</w:t>
            </w:r>
            <w:r>
              <w:rPr>
                <w:rFonts w:ascii="Century Gothic" w:hAnsi="Century Gothic" w:cs="Arial"/>
                <w:sz w:val="20"/>
                <w:szCs w:val="20"/>
              </w:rPr>
              <w:t xml:space="preserve"> Las personas naturales y jurídicas determinadas en el Art. 1 de la presente ordenanza, para los contratos de ejecución de obras, adquisición de bienes y prestación de servicios incluidos los de consultoría, el adjudicatario deberá obligatoriamente adquirir no menos del 80% de los bienes, materiales y/o servicios en la jurisdicción del cantón Shushufindi, en el evento de que no existan en la localidad los bienes y/o materiales requeridos, previo la autorización emitida por el Administrador del Contrato, Fiscalizador o quien haga sus veces y una vez que se ha demostrado fehacientemente la inexistencia de los bienes y/o materiales, se podrá adquirir fuera de la circunscripción del cantón Shushufindi, en primer lugar los cantones de la Provincia Sucumbíos y en el evento de no existir, podrá adquirirlos en las demás provincias de la circunscripción territorial amazónica.</w:t>
            </w:r>
          </w:p>
          <w:p w14:paraId="512222B8" w14:textId="77777777" w:rsidR="001D46B5" w:rsidRPr="009C3A0E" w:rsidRDefault="001D46B5" w:rsidP="001D46B5">
            <w:pPr>
              <w:jc w:val="both"/>
              <w:rPr>
                <w:rFonts w:ascii="Century Gothic" w:hAnsi="Century Gothic" w:cs="Arial"/>
                <w:sz w:val="20"/>
                <w:szCs w:val="20"/>
              </w:rPr>
            </w:pPr>
          </w:p>
          <w:p w14:paraId="259AC988" w14:textId="77777777" w:rsidR="001D46B5" w:rsidRDefault="001D46B5" w:rsidP="001D46B5">
            <w:pPr>
              <w:jc w:val="both"/>
              <w:rPr>
                <w:rFonts w:ascii="Century Gothic" w:hAnsi="Century Gothic" w:cs="Arial"/>
                <w:sz w:val="20"/>
                <w:szCs w:val="20"/>
              </w:rPr>
            </w:pPr>
            <w:r>
              <w:rPr>
                <w:rFonts w:ascii="Century Gothic" w:hAnsi="Century Gothic" w:cs="Arial"/>
                <w:sz w:val="20"/>
                <w:szCs w:val="20"/>
              </w:rPr>
              <w:t xml:space="preserve">Debiendo los bienes y/o servicios ofertados en esta jurisdicción cantonal, estar acordes a los precios de mercado de la Región, como medida de protección para el oferente/consumidor, los expendedores de los bienes y/o servicios estarán sujetos de control conforme lo preceptúa los artículos 51 y 53 de la Ley Orgánica de Defensa del Consumidor para de esta manera evitar cualquier práctica desleal que tienda a causar la especulación indiscriminada de precios, dentro de la jurisdicción local por las condiciones de vida, entiéndase económica, social, ambiental por ser una zona especial. </w:t>
            </w:r>
          </w:p>
          <w:p w14:paraId="3796C774" w14:textId="57F6503A" w:rsidR="00706895" w:rsidRDefault="00706895" w:rsidP="00295AF7">
            <w:pPr>
              <w:spacing w:before="240"/>
              <w:jc w:val="both"/>
              <w:rPr>
                <w:rFonts w:ascii="Century Gothic" w:hAnsi="Century Gothic" w:cs="Arial"/>
                <w:sz w:val="20"/>
                <w:szCs w:val="20"/>
              </w:rPr>
            </w:pPr>
            <w:r>
              <w:rPr>
                <w:rFonts w:ascii="Century Gothic" w:hAnsi="Century Gothic" w:cs="Arial"/>
                <w:sz w:val="20"/>
                <w:szCs w:val="20"/>
                <w:highlight w:val="yellow"/>
              </w:rPr>
              <w:t>AGREGAR NORMATIVA APLICABLE PERTINENTE AL PROCESO DE CONTRATACION Y REFERENTE A LA UNIDAD REQUIRENTE</w:t>
            </w:r>
            <w:r>
              <w:rPr>
                <w:rFonts w:ascii="Century Gothic" w:hAnsi="Century Gothic" w:cs="Arial"/>
                <w:sz w:val="20"/>
                <w:szCs w:val="20"/>
              </w:rPr>
              <w:t xml:space="preserve"> </w:t>
            </w:r>
          </w:p>
          <w:p w14:paraId="3A250A19" w14:textId="77777777" w:rsidR="00417D09" w:rsidRPr="00285A8B" w:rsidRDefault="00417D09" w:rsidP="00417D09">
            <w:pPr>
              <w:spacing w:before="240"/>
              <w:jc w:val="both"/>
              <w:rPr>
                <w:rFonts w:ascii="Century Gothic" w:hAnsi="Century Gothic" w:cs="Arial"/>
                <w:b/>
                <w:i/>
                <w:sz w:val="24"/>
                <w:szCs w:val="20"/>
              </w:rPr>
            </w:pPr>
            <w:r>
              <w:rPr>
                <w:rFonts w:ascii="Century Gothic" w:hAnsi="Century Gothic" w:cs="Arial"/>
                <w:b/>
                <w:i/>
                <w:sz w:val="24"/>
                <w:szCs w:val="20"/>
                <w:highlight w:val="yellow"/>
              </w:rPr>
              <w:t>VERIFICAR NORMATIVA ACORDE AL PROCESO DE CONTRATACION, CASO CONTRARIO ELIMINAR LA NORMATIVA QUE NO AJUSTE AL PROCESO A EJECUTARSE</w:t>
            </w:r>
            <w:r>
              <w:rPr>
                <w:rFonts w:ascii="Century Gothic" w:hAnsi="Century Gothic" w:cs="Arial"/>
                <w:b/>
                <w:i/>
                <w:sz w:val="24"/>
                <w:szCs w:val="20"/>
              </w:rPr>
              <w:t xml:space="preserve"> </w:t>
            </w:r>
          </w:p>
          <w:p w14:paraId="408BB071" w14:textId="0E7EE65B" w:rsidR="007B007A" w:rsidRPr="00417D09" w:rsidRDefault="007B007A" w:rsidP="007B007A">
            <w:pPr>
              <w:spacing w:before="240"/>
              <w:jc w:val="both"/>
              <w:rPr>
                <w:rFonts w:ascii="Century Gothic" w:hAnsi="Century Gothic" w:cs="Arial"/>
                <w:b/>
                <w:sz w:val="40"/>
                <w:szCs w:val="20"/>
                <w:u w:val="single"/>
              </w:rPr>
            </w:pPr>
            <w:r>
              <w:rPr>
                <w:rFonts w:ascii="Century Gothic" w:hAnsi="Century Gothic" w:cs="Arial"/>
                <w:b/>
                <w:sz w:val="40"/>
                <w:szCs w:val="20"/>
                <w:highlight w:val="yellow"/>
                <w:u w:val="single"/>
              </w:rPr>
              <w:t xml:space="preserve">PARA FERIA INCLUSIVA</w:t>
            </w:r>
          </w:p>
          <w:p w14:paraId="49FCBF8F" w14:textId="77777777" w:rsidR="007B007A" w:rsidRDefault="007B007A" w:rsidP="007B007A">
            <w:pPr>
              <w:jc w:val="both"/>
              <w:rPr>
                <w:rFonts w:ascii="Century Gothic" w:hAnsi="Century Gothic" w:cs="Arial"/>
                <w:b/>
                <w:bCs/>
                <w:sz w:val="20"/>
                <w:szCs w:val="20"/>
              </w:rPr>
            </w:pPr>
          </w:p>
          <w:p w14:paraId="21644695" w14:textId="77777777" w:rsidR="00693232" w:rsidRPr="009C3A0E" w:rsidRDefault="00693232" w:rsidP="00693232">
            <w:pPr>
              <w:jc w:val="both"/>
              <w:rPr>
                <w:rFonts w:ascii="Century Gothic" w:hAnsi="Century Gothic" w:cs="Arial"/>
                <w:b/>
                <w:bCs/>
                <w:sz w:val="20"/>
                <w:szCs w:val="20"/>
              </w:rPr>
            </w:pPr>
            <w:r>
              <w:rPr>
                <w:rFonts w:ascii="Century Gothic" w:hAnsi="Century Gothic" w:cs="Arial"/>
                <w:b/>
                <w:bCs/>
                <w:sz w:val="20"/>
                <w:szCs w:val="20"/>
              </w:rPr>
              <w:t>CONSTITUCIÓN DE LA REPUBLICA DEL ECUADOR</w:t>
            </w:r>
          </w:p>
          <w:p w14:paraId="1EF473F5" w14:textId="77777777" w:rsidR="00693232" w:rsidRPr="009C3A0E" w:rsidRDefault="00693232" w:rsidP="00693232">
            <w:pPr>
              <w:spacing w:before="240"/>
              <w:jc w:val="both"/>
              <w:rPr>
                <w:rFonts w:ascii="Century Gothic" w:hAnsi="Century Gothic" w:cs="Arial"/>
                <w:sz w:val="20"/>
                <w:szCs w:val="20"/>
              </w:rPr>
            </w:pPr>
            <w:r>
              <w:rPr>
                <w:rFonts w:ascii="Century Gothic" w:hAnsi="Century Gothic" w:cs="Arial"/>
                <w:b/>
                <w:sz w:val="20"/>
                <w:szCs w:val="20"/>
              </w:rPr>
              <w:t>Art. 226.-</w:t>
            </w:r>
            <w:r>
              <w:rPr>
                <w:rFonts w:ascii="Century Gothic" w:hAnsi="Century Gothic" w:cs="Arial"/>
                <w:sz w:val="20"/>
                <w:szCs w:val="20"/>
              </w:rPr>
              <w:t xml:space="preserve"> 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14:paraId="23114FD4" w14:textId="77777777" w:rsidR="00693232" w:rsidRPr="009C3A0E" w:rsidRDefault="00693232" w:rsidP="00693232">
            <w:pPr>
              <w:spacing w:before="240"/>
              <w:jc w:val="both"/>
              <w:rPr>
                <w:rFonts w:ascii="Century Gothic" w:hAnsi="Century Gothic" w:cs="Arial"/>
                <w:sz w:val="20"/>
                <w:szCs w:val="20"/>
              </w:rPr>
            </w:pPr>
            <w:r>
              <w:rPr>
                <w:rFonts w:ascii="Century Gothic" w:hAnsi="Century Gothic" w:cs="Arial"/>
                <w:b/>
                <w:sz w:val="20"/>
                <w:szCs w:val="20"/>
              </w:rPr>
              <w:t>Art. 227.-</w:t>
            </w:r>
            <w:r>
              <w:rPr>
                <w:rFonts w:ascii="Century Gothic" w:hAnsi="Century Gothic" w:cs="Arial"/>
                <w:sz w:val="20"/>
                <w:szCs w:val="20"/>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p>
          <w:p w14:paraId="6A3038FA" w14:textId="77777777" w:rsidR="00693232" w:rsidRPr="009C3A0E" w:rsidRDefault="00693232" w:rsidP="00693232">
            <w:pPr>
              <w:spacing w:before="240"/>
              <w:jc w:val="both"/>
              <w:rPr>
                <w:rFonts w:ascii="Century Gothic" w:hAnsi="Century Gothic" w:cs="Arial"/>
                <w:sz w:val="20"/>
                <w:szCs w:val="20"/>
              </w:rPr>
            </w:pPr>
            <w:r>
              <w:rPr>
                <w:rFonts w:ascii="Century Gothic" w:hAnsi="Century Gothic" w:cs="Arial"/>
                <w:b/>
                <w:sz w:val="20"/>
                <w:szCs w:val="20"/>
              </w:rPr>
              <w:t>Art. 288</w:t>
            </w:r>
            <w:r>
              <w:rPr>
                <w:rFonts w:ascii="Century Gothic" w:hAnsi="Century Gothic" w:cs="Arial"/>
                <w:sz w:val="20"/>
                <w:szCs w:val="20"/>
              </w:rPr>
              <w:t>.- 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p>
          <w:p w14:paraId="5706BB2A" w14:textId="77777777" w:rsidR="00693232" w:rsidRPr="009C3A0E" w:rsidRDefault="00693232" w:rsidP="00693232">
            <w:pPr>
              <w:jc w:val="both"/>
              <w:rPr>
                <w:rFonts w:ascii="Century Gothic" w:hAnsi="Century Gothic" w:cs="Arial"/>
                <w:b/>
                <w:bCs/>
                <w:sz w:val="20"/>
                <w:szCs w:val="20"/>
                <w:lang w:val="es-ES"/>
              </w:rPr>
            </w:pPr>
          </w:p>
          <w:p w14:paraId="38472D20" w14:textId="77777777" w:rsidR="00693232" w:rsidRPr="009C3A0E" w:rsidRDefault="00693232" w:rsidP="00693232">
            <w:pPr>
              <w:jc w:val="both"/>
              <w:rPr>
                <w:rFonts w:ascii="Century Gothic" w:hAnsi="Century Gothic" w:cs="Arial"/>
                <w:b/>
                <w:bCs/>
                <w:sz w:val="20"/>
                <w:szCs w:val="20"/>
                <w:lang w:val="es-ES"/>
              </w:rPr>
            </w:pPr>
            <w:r>
              <w:rPr>
                <w:rFonts w:ascii="Century Gothic" w:hAnsi="Century Gothic" w:cs="Arial"/>
                <w:b/>
                <w:bCs/>
                <w:sz w:val="20"/>
                <w:szCs w:val="20"/>
                <w:lang w:val="es-ES"/>
              </w:rPr>
              <w:t>CÓDIGO ORGÁNICO DE ORGANIZACIÓN TERRITORIAL AUTONOMÍA Y DESCENTRALIZACIÓN</w:t>
            </w:r>
          </w:p>
          <w:p w14:paraId="1D9AE990" w14:textId="77777777" w:rsidR="00693232" w:rsidRPr="009C3A0E" w:rsidRDefault="00693232" w:rsidP="00693232">
            <w:pPr>
              <w:jc w:val="both"/>
              <w:rPr>
                <w:rFonts w:ascii="Century Gothic" w:hAnsi="Century Gothic" w:cs="Arial"/>
                <w:b/>
                <w:bCs/>
                <w:sz w:val="20"/>
                <w:szCs w:val="20"/>
                <w:lang w:val="es-ES"/>
              </w:rPr>
            </w:pPr>
          </w:p>
          <w:p w14:paraId="5AFEF0FC" w14:textId="77777777" w:rsidR="00693232" w:rsidRPr="009C3A0E" w:rsidRDefault="00693232" w:rsidP="00693232">
            <w:pPr>
              <w:jc w:val="both"/>
              <w:rPr>
                <w:rFonts w:ascii="Century Gothic" w:hAnsi="Century Gothic" w:cs="Arial"/>
                <w:sz w:val="20"/>
                <w:szCs w:val="20"/>
              </w:rPr>
            </w:pPr>
            <w:r>
              <w:rPr>
                <w:rFonts w:ascii="Century Gothic" w:hAnsi="Century Gothic" w:cs="Arial"/>
                <w:b/>
                <w:sz w:val="20"/>
                <w:szCs w:val="20"/>
              </w:rPr>
              <w:t>Art. 278.-</w:t>
            </w:r>
            <w:r>
              <w:rPr>
                <w:rFonts w:ascii="Century Gothic" w:hAnsi="Century Gothic" w:cs="Arial"/>
                <w:i/>
                <w:sz w:val="20"/>
                <w:szCs w:val="20"/>
              </w:rPr>
              <w:t>Gestión por contrato. - En la adquisición o arrendamiento de bienes, ejecución de obras y prestación de servicios, incluidos los de consultoría, los gobiernos autónomos descentralizados observarán las disposiciones, principios, herramientas e instrumentos previstos en la Ley que regule la contratación pública.</w:t>
            </w:r>
          </w:p>
          <w:p w14:paraId="016FCBD1" w14:textId="77777777" w:rsidR="00693232" w:rsidRPr="009C3A0E" w:rsidRDefault="00693232" w:rsidP="00693232">
            <w:pPr>
              <w:jc w:val="both"/>
              <w:rPr>
                <w:rFonts w:ascii="Century Gothic" w:hAnsi="Century Gothic" w:cs="Arial"/>
                <w:b/>
                <w:bCs/>
                <w:sz w:val="20"/>
                <w:szCs w:val="20"/>
                <w:lang w:val="es-ES"/>
              </w:rPr>
            </w:pPr>
          </w:p>
          <w:p w14:paraId="38EAC35A" w14:textId="77777777" w:rsidR="00693232" w:rsidRPr="009C3A0E" w:rsidRDefault="00693232" w:rsidP="00693232">
            <w:pPr>
              <w:jc w:val="both"/>
              <w:rPr>
                <w:rFonts w:ascii="Century Gothic" w:hAnsi="Century Gothic" w:cs="Arial"/>
                <w:b/>
                <w:bCs/>
                <w:sz w:val="20"/>
                <w:szCs w:val="20"/>
                <w:lang w:val="es-ES"/>
              </w:rPr>
            </w:pPr>
            <w:r>
              <w:rPr>
                <w:rFonts w:ascii="Century Gothic" w:hAnsi="Century Gothic" w:cs="Arial"/>
                <w:b/>
                <w:bCs/>
                <w:sz w:val="20"/>
                <w:szCs w:val="20"/>
                <w:lang w:val="es-ES"/>
              </w:rPr>
              <w:t>LEY ORGÁNICA DEL SISTEMA NACIONAL DE CONTRATACIÓN PÚBLICA –LOSNCP</w:t>
            </w:r>
          </w:p>
          <w:p w14:paraId="215536E7" w14:textId="77777777" w:rsidR="00693232" w:rsidRPr="009C3A0E" w:rsidRDefault="00693232" w:rsidP="00693232">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3</w:t>
            </w:r>
            <w:r>
              <w:rPr>
                <w:rFonts w:ascii="Century Gothic" w:hAnsi="Century Gothic" w:cs="Arial"/>
                <w:sz w:val="20"/>
                <w:szCs w:val="20"/>
              </w:rPr>
              <w:t xml:space="preserve">.- </w:t>
            </w:r>
            <w:r>
              <w:rPr>
                <w:rFonts w:ascii="Century Gothic" w:hAnsi="Century Gothic" w:cs="Arial"/>
                <w:i/>
                <w:sz w:val="20"/>
                <w:szCs w:val="20"/>
              </w:rPr>
              <w:t xml:space="preserve">Principios. - Para la aplicación de esta Ley, y priorizando el interés público por encima del privado respetando el marco constitucional y legal, se vigilará la integridad de los procedimientos y contratos </w:t>
              <w:lastRenderedPageBreak/>
              <w:t xml:space="preserve">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14:paraId="5D280DBD" w14:textId="77777777" w:rsidR="00693232" w:rsidRPr="009C3A0E" w:rsidRDefault="00693232" w:rsidP="00693232">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21</w:t>
            </w:r>
            <w:r>
              <w:rPr>
                <w:rFonts w:ascii="Century Gothic" w:hAnsi="Century Gothic" w:cs="Arial"/>
                <w:sz w:val="20"/>
                <w:szCs w:val="20"/>
              </w:rPr>
              <w:t xml:space="preserve">.- </w:t>
            </w:r>
            <w:r>
              <w:rPr>
                <w:rFonts w:ascii="Century Gothic" w:hAnsi="Century Gothic" w:cs="Arial"/>
                <w:i/>
                <w:sz w:val="20"/>
                <w:szCs w:val="20"/>
              </w:rPr>
              <w:t xml:space="preserve">Portal de Contratación Pública. - s la plataforma informática oficial de contratación pública del Ecuador, será de uso obligatorio para proveedores y entidades contratantes, y será administrado por el SERCOP. El Portal de Contratación Pública contendrá respecto de todas las modalidades de contratación pública, salvo las sometidas a reserva por mandato de la Ley, entre otras, el RUP, catálogos o repertorios de compras, documentación o información de todas las fases de las contrataciones públicas, estadísticas, contratistas incumplidos o adjudicatarios fallidos, otras sanciones establecidas y la información sobre el estado de las contrataciones públicas. Será el único medio empleado para realizar todo procedimiento electrónico de contratación pública, de acuerdo con las disposiciones de la presente Ley y su Reglamento…”.</w:t>
            </w:r>
            <w:r>
              <w:rPr>
                <w:rFonts w:ascii="Century Gothic" w:hAnsi="Century Gothic" w:cs="Arial"/>
                <w:sz w:val="20"/>
                <w:szCs w:val="20"/>
              </w:rPr>
              <w:t xml:space="preserve"> </w:t>
            </w:r>
          </w:p>
          <w:p w14:paraId="0F9D7BB4" w14:textId="77777777" w:rsidR="00693232" w:rsidRDefault="00693232" w:rsidP="004B54DA">
            <w:pPr>
              <w:spacing w:before="240"/>
              <w:jc w:val="both"/>
              <w:rPr>
                <w:rFonts w:ascii="Century Gothic" w:hAnsi="Century Gothic" w:cs="Arial"/>
                <w:sz w:val="20"/>
                <w:szCs w:val="20"/>
              </w:rPr>
            </w:pPr>
            <w:r>
              <w:rPr>
                <w:rFonts w:ascii="Century Gothic" w:hAnsi="Century Gothic" w:cs="Arial"/>
                <w:b/>
                <w:sz w:val="20"/>
                <w:szCs w:val="20"/>
              </w:rPr>
              <w:t>Art.</w:t>
            </w:r>
            <w:r>
              <w:rPr>
                <w:rFonts w:ascii="Century Gothic" w:hAnsi="Century Gothic" w:cs="Arial"/>
                <w:sz w:val="20"/>
                <w:szCs w:val="20"/>
              </w:rPr>
              <w:t xml:space="preserve"> </w:t>
            </w:r>
            <w:r>
              <w:rPr>
                <w:rFonts w:ascii="Century Gothic" w:hAnsi="Century Gothic" w:cs="Arial"/>
                <w:b/>
                <w:sz w:val="20"/>
                <w:szCs w:val="20"/>
              </w:rPr>
              <w:t>46.-</w:t>
            </w:r>
            <w:r>
              <w:rPr>
                <w:rFonts w:ascii="Century Gothic" w:hAnsi="Century Gothic" w:cs="Arial"/>
                <w:sz w:val="20"/>
                <w:szCs w:val="20"/>
              </w:rPr>
              <w:t>Las Entidades Contratantes deberán consultar el catálogo electrónico previamente a establecer procesos de adquisición de bienes y servicios. Solo en caso de que el bien o servicio requerido no se encuentre catalogado se podrá realizar otros procedimientos de selección para la adquisición de bienes o servicios, de conformidad con la presente Ley y su Reglamento.</w:t>
            </w:r>
          </w:p>
          <w:p w14:paraId="5D4B31A6" w14:textId="78CBF633" w:rsidR="007B007A" w:rsidRPr="00693232" w:rsidRDefault="00693232" w:rsidP="004B54DA">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 xml:space="preserve">Art. 51.-</w:t>
            </w:r>
            <w:r>
              <w:rPr>
                <w:rFonts w:ascii="Century Gothic" w:hAnsi="Century Gothic" w:cs="Arial"/>
                <w:sz w:val="20"/>
                <w:szCs w:val="20"/>
              </w:rPr>
              <w:t xml:space="preserve"> </w:t>
            </w:r>
            <w:r>
              <w:rPr>
                <w:rFonts w:ascii="Century Gothic" w:hAnsi="Century Gothic" w:cs="Arial"/>
                <w:i/>
                <w:sz w:val="20"/>
                <w:szCs w:val="20"/>
              </w:rPr>
              <w:t xml:space="preserve">Feria inclusiva. - La Feria Inclusiva es un procedimiento que se utilizará con el objeto de adquirir bienes y servicios de producción nacional y de origen local, no catalogados. En este procedimiento únicamente podrán participar los proveedores de origen local y que a su vez sean productores nacionales, sea a través de las organizaciones de la economía popular y solidaria, artesanos, emprendedores, negocios populares, miembros de la agricultura familiar campesina, o a través de las micro y pequeñas empresas y organizaciones de Integración Económica debidamente registradas en la Secretarla de Economía Popular y Solidaria…”. </w:t>
            </w:r>
          </w:p>
          <w:p w14:paraId="28BC9A07" w14:textId="77777777" w:rsidR="007B007A" w:rsidRPr="009C3A0E" w:rsidRDefault="007B007A" w:rsidP="007B007A">
            <w:pPr>
              <w:spacing w:before="240"/>
              <w:jc w:val="both"/>
              <w:rPr>
                <w:rFonts w:ascii="Century Gothic" w:hAnsi="Century Gothic" w:cs="Arial"/>
                <w:i/>
                <w:sz w:val="20"/>
                <w:szCs w:val="20"/>
              </w:rPr>
            </w:pPr>
          </w:p>
          <w:p w14:paraId="73D4D528" w14:textId="77777777" w:rsidR="00CF529D" w:rsidRPr="009C3A0E" w:rsidRDefault="00CF529D" w:rsidP="00CF529D">
            <w:pPr>
              <w:jc w:val="both"/>
              <w:rPr>
                <w:rFonts w:ascii="Century Gothic" w:hAnsi="Century Gothic" w:cs="Arial"/>
                <w:b/>
                <w:sz w:val="20"/>
                <w:szCs w:val="20"/>
              </w:rPr>
            </w:pPr>
            <w:r>
              <w:rPr>
                <w:rFonts w:ascii="Century Gothic" w:hAnsi="Century Gothic" w:cs="Arial"/>
                <w:b/>
                <w:sz w:val="20"/>
                <w:szCs w:val="20"/>
              </w:rPr>
              <w:t>LEY ORGÁNICA PARA LA PLANIFICACIÓN Y DESARROLLO INTEGRAL DE LA CIRCUNSCRIPCIÓN TERRITORIAL ESPECIAL AMAZÓNICA</w:t>
            </w:r>
          </w:p>
          <w:p w14:paraId="470247C2" w14:textId="77777777" w:rsidR="00CF529D" w:rsidRPr="009C3A0E" w:rsidRDefault="00CF529D" w:rsidP="00CF529D">
            <w:pPr>
              <w:spacing w:before="240"/>
              <w:jc w:val="both"/>
              <w:rPr>
                <w:rFonts w:ascii="Century Gothic" w:hAnsi="Century Gothic" w:cs="Arial"/>
                <w:i/>
                <w:sz w:val="20"/>
                <w:szCs w:val="20"/>
              </w:rPr>
            </w:pPr>
          </w:p>
          <w:p w14:paraId="3D87AA6E" w14:textId="77777777" w:rsidR="00CF529D" w:rsidRPr="009C3A0E" w:rsidRDefault="00CF529D" w:rsidP="00CF529D">
            <w:pPr>
              <w:jc w:val="both"/>
              <w:rPr>
                <w:rFonts w:ascii="Century Gothic" w:hAnsi="Century Gothic" w:cs="Arial"/>
                <w:sz w:val="20"/>
                <w:szCs w:val="20"/>
              </w:rPr>
            </w:pPr>
            <w:r>
              <w:rPr>
                <w:rFonts w:ascii="Century Gothic" w:hAnsi="Century Gothic" w:cs="Arial"/>
                <w:b/>
                <w:sz w:val="20"/>
                <w:szCs w:val="20"/>
              </w:rPr>
              <w:t>Art. 41.3.-</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18A20658" w14:textId="77777777" w:rsidR="00CF529D" w:rsidRPr="009C3A0E" w:rsidRDefault="00CF529D" w:rsidP="00CF529D">
            <w:pPr>
              <w:spacing w:before="240"/>
              <w:jc w:val="both"/>
              <w:rPr>
                <w:rFonts w:ascii="Century Gothic" w:hAnsi="Century Gothic" w:cs="Arial"/>
                <w:sz w:val="20"/>
                <w:szCs w:val="20"/>
              </w:rPr>
            </w:pPr>
            <w:r>
              <w:rPr>
                <w:rFonts w:ascii="Century Gothic" w:hAnsi="Century Gothic" w:cs="Arial"/>
                <w:b/>
                <w:sz w:val="20"/>
                <w:szCs w:val="20"/>
              </w:rPr>
              <w:t>Disposición general Quinta</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1ADA2348" w14:textId="77777777" w:rsidR="00CF529D" w:rsidRPr="009C3A0E" w:rsidRDefault="00CF529D" w:rsidP="00CF529D">
            <w:pPr>
              <w:spacing w:before="240"/>
              <w:jc w:val="both"/>
              <w:rPr>
                <w:rFonts w:ascii="Century Gothic" w:hAnsi="Century Gothic" w:cs="Arial"/>
                <w:sz w:val="20"/>
                <w:szCs w:val="20"/>
              </w:rPr>
            </w:pPr>
          </w:p>
          <w:p w14:paraId="3D88354F" w14:textId="77777777" w:rsidR="00CF529D" w:rsidRPr="009C3A0E" w:rsidRDefault="00CF529D" w:rsidP="00CF529D">
            <w:pPr>
              <w:autoSpaceDE w:val="0"/>
              <w:autoSpaceDN w:val="0"/>
              <w:adjustRightInd w:val="0"/>
              <w:jc w:val="both"/>
              <w:rPr>
                <w:rFonts w:ascii="Century Gothic" w:hAnsi="Century Gothic" w:cs="Arial"/>
                <w:b/>
                <w:sz w:val="20"/>
                <w:szCs w:val="20"/>
              </w:rPr>
            </w:pPr>
            <w:r>
              <w:rPr>
                <w:rFonts w:ascii="Century Gothic" w:hAnsi="Century Gothic" w:cs="Arial"/>
                <w:b/>
                <w:sz w:val="20"/>
                <w:szCs w:val="20"/>
              </w:rPr>
              <w:t>REGLAMENTO A LA LEY ORGÁNICA PARA LA PLANIFICACIÓN Y DESARROLLO INTEGRAL DE LA CIRCUNSCRIPCIÓN TERRITORIAL ESPECIAL AMAZÓNICA</w:t>
            </w:r>
          </w:p>
          <w:p w14:paraId="2D71DB5C" w14:textId="77777777" w:rsidR="00CF529D" w:rsidRPr="009C3A0E" w:rsidRDefault="00CF529D" w:rsidP="00CF529D">
            <w:pPr>
              <w:autoSpaceDE w:val="0"/>
              <w:autoSpaceDN w:val="0"/>
              <w:adjustRightInd w:val="0"/>
              <w:jc w:val="both"/>
              <w:rPr>
                <w:rFonts w:ascii="Century Gothic" w:hAnsi="Century Gothic" w:cs="Arial"/>
                <w:b/>
                <w:sz w:val="20"/>
                <w:szCs w:val="20"/>
              </w:rPr>
            </w:pPr>
          </w:p>
          <w:p w14:paraId="03F93317" w14:textId="77777777" w:rsidR="00CF529D" w:rsidRPr="009C3A0E" w:rsidRDefault="00CF529D" w:rsidP="00CF529D">
            <w:pPr>
              <w:jc w:val="both"/>
              <w:rPr>
                <w:rFonts w:ascii="Century Gothic" w:hAnsi="Century Gothic" w:cs="Arial"/>
                <w:sz w:val="20"/>
                <w:szCs w:val="20"/>
              </w:rPr>
            </w:pPr>
            <w:r>
              <w:rPr>
                <w:rFonts w:ascii="Century Gothic" w:hAnsi="Century Gothic" w:cs="Arial"/>
                <w:b/>
                <w:sz w:val="20"/>
                <w:szCs w:val="20"/>
              </w:rPr>
              <w:t>Art. 3.-</w:t>
            </w:r>
            <w:r>
              <w:rPr>
                <w:rFonts w:ascii="Century Gothic" w:hAnsi="Century Gothic" w:cs="Arial"/>
                <w:sz w:val="20"/>
                <w:szCs w:val="20"/>
              </w:rPr>
              <w:t xml:space="preserve"> Territorio de la Circunscripción Territorial Especial Amazónica: La Circunscripción Territorial Especial Amazónica comprende el área terrestre de las provincias amazónicas de Morona Santiago, Napo, Orellana, Pastaza, Sucumbíos y Zamora Chinchipe, que incluye áreas pobladas y no pobladas que corresponden geográficamente a la meseta amazónica y a las estribaciones a la Cordillera Oriental de </w:t>
              <w:lastRenderedPageBreak/>
              <w:t xml:space="preserve">los Andes, los recursos hídricos, fluviales, mineros, el subsuelo del área terrestre, el espacio aéreo y la órbita geoestacionaria. </w:t>
            </w:r>
          </w:p>
          <w:p w14:paraId="0A29A498" w14:textId="77777777" w:rsidR="00CF529D" w:rsidRPr="009C3A0E" w:rsidRDefault="00CF529D" w:rsidP="00CF529D">
            <w:pPr>
              <w:autoSpaceDE w:val="0"/>
              <w:autoSpaceDN w:val="0"/>
              <w:adjustRightInd w:val="0"/>
              <w:jc w:val="both"/>
              <w:rPr>
                <w:rFonts w:ascii="Century Gothic" w:hAnsi="Century Gothic" w:cs="Arial"/>
                <w:b/>
                <w:sz w:val="20"/>
                <w:szCs w:val="20"/>
              </w:rPr>
            </w:pPr>
          </w:p>
          <w:p w14:paraId="7A9C0746" w14:textId="77777777" w:rsidR="00CF529D" w:rsidRPr="009C3A0E" w:rsidRDefault="00CF529D" w:rsidP="00CF529D">
            <w:pPr>
              <w:autoSpaceDE w:val="0"/>
              <w:autoSpaceDN w:val="0"/>
              <w:adjustRightInd w:val="0"/>
              <w:jc w:val="both"/>
              <w:rPr>
                <w:rFonts w:ascii="Century Gothic" w:hAnsi="Century Gothic" w:cs="Arial"/>
                <w:b/>
                <w:bCs/>
                <w:sz w:val="20"/>
                <w:szCs w:val="20"/>
              </w:rPr>
            </w:pPr>
          </w:p>
          <w:p w14:paraId="4ED00123" w14:textId="77777777" w:rsidR="00CF529D" w:rsidRPr="009C3A0E" w:rsidRDefault="00CF529D" w:rsidP="00CF529D">
            <w:pPr>
              <w:jc w:val="both"/>
              <w:rPr>
                <w:rFonts w:ascii="Century Gothic" w:hAnsi="Century Gothic" w:cs="Arial"/>
                <w:b/>
                <w:bCs/>
                <w:sz w:val="20"/>
                <w:szCs w:val="20"/>
                <w:lang w:val="es-ES"/>
              </w:rPr>
            </w:pPr>
            <w:r>
              <w:rPr>
                <w:rFonts w:ascii="Century Gothic" w:hAnsi="Century Gothic" w:cs="Arial"/>
                <w:b/>
                <w:bCs/>
                <w:sz w:val="20"/>
                <w:szCs w:val="20"/>
                <w:lang w:val="es-ES"/>
              </w:rPr>
              <w:t>REGLAMENTO A LA LEY ORGÁNICA DEL SISTEMA NACIONAL DE CONTRATACIÓN PÚBLICA –LOSNCP</w:t>
            </w:r>
          </w:p>
          <w:p w14:paraId="1CC88D89" w14:textId="77777777" w:rsidR="00CF529D" w:rsidRPr="009C3A0E" w:rsidRDefault="00CF529D" w:rsidP="00CF529D">
            <w:pPr>
              <w:autoSpaceDE w:val="0"/>
              <w:autoSpaceDN w:val="0"/>
              <w:adjustRightInd w:val="0"/>
              <w:jc w:val="both"/>
              <w:rPr>
                <w:rFonts w:ascii="Century Gothic" w:hAnsi="Century Gothic" w:cs="Arial"/>
                <w:bCs/>
                <w:sz w:val="20"/>
                <w:szCs w:val="20"/>
              </w:rPr>
            </w:pPr>
          </w:p>
          <w:p w14:paraId="54EA70DF"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
                <w:bCs/>
                <w:sz w:val="20"/>
                <w:szCs w:val="20"/>
              </w:rPr>
              <w:t>Art. 22.-</w:t>
            </w:r>
            <w:r>
              <w:rPr>
                <w:rFonts w:ascii="Century Gothic" w:hAnsi="Century Gothic" w:cs="Arial"/>
                <w:bCs/>
                <w:sz w:val="20"/>
                <w:szCs w:val="20"/>
              </w:rPr>
              <w:t xml:space="preserve"> </w:t>
            </w:r>
            <w:r>
              <w:rPr>
                <w:rFonts w:ascii="Century Gothic" w:hAnsi="Century Gothic" w:cs="Arial"/>
                <w:bCs/>
                <w:i/>
                <w:sz w:val="20"/>
                <w:szCs w:val="20"/>
              </w:rPr>
              <w:t>Información relevante. - Para efectos de publicidad y política de gobierno</w:t>
            </w:r>
          </w:p>
          <w:p w14:paraId="40F90C61"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abierto de los procedimientos de contratación en el Portal de Contratación Pública, se entenderá como información relevante la siguiente:</w:t>
            </w:r>
          </w:p>
          <w:p w14:paraId="2D5CB843"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 Informe de necesidad de la contratación;</w:t>
            </w:r>
          </w:p>
          <w:p w14:paraId="59159FB4"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 Proformas y cotizaciones recibidas en la fase preparatoria para la elaboración del instrumento de determinación del presupuesto referencial;</w:t>
            </w:r>
          </w:p>
          <w:p w14:paraId="2D9CB387"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 Instrumento de determinación del presupuesto referencial;</w:t>
            </w:r>
          </w:p>
          <w:p w14:paraId="6FA01489"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4. Estudios de desagregación tecnológica, en caso de ser requerido;</w:t>
            </w:r>
          </w:p>
          <w:p w14:paraId="6B40CB72"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5. Estudios, diseños o proyectos;</w:t>
            </w:r>
          </w:p>
          <w:p w14:paraId="2FC9C209"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6. Términos de referencia y/o especificaciones técnicas;</w:t>
            </w:r>
          </w:p>
          <w:p w14:paraId="6A25A337"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7. Certificación PAC;</w:t>
            </w:r>
          </w:p>
          <w:p w14:paraId="40F36DEA"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8. Certificación presupuestaria;</w:t>
            </w:r>
          </w:p>
          <w:p w14:paraId="55CC8A4A"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9. En los procedimientos de arrendamiento de bienes inmuebles, la respectiva autorización emitida por el ente regulador de gestión inmobiliaria del sector público para el inicio del procedimiento de arrendamiento, en los casos que corresponda; y, prórroga y/o renovación de los contratos, de ser procedente.</w:t>
            </w:r>
          </w:p>
          <w:p w14:paraId="22E22262"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10. Invitación a proveedores, de ser el caso;</w:t>
            </w:r>
          </w:p>
          <w:p w14:paraId="584DD9D9" w14:textId="77777777" w:rsidR="00CF529D"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11. Pliegos;</w:t>
            </w:r>
          </w:p>
          <w:p w14:paraId="3DAB4847"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12. Resolución de inicio, aprobación de pliegos y de cronograma (convocatoria);</w:t>
            </w:r>
          </w:p>
          <w:p w14:paraId="6F009B97"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13. Preguntas, respuestas y aclaraciones de los procedimientos de contratación;</w:t>
            </w:r>
          </w:p>
          <w:p w14:paraId="055DDADB"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14. Actas (preguntas, respuestas y aclaraciones, apertura de las ofertas; convalidación de errores;</w:t>
            </w:r>
          </w:p>
          <w:p w14:paraId="7CA1C5B8"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calificación, y acta de negoción, en los casos que corresponda), y demás documentación precontractual;</w:t>
            </w:r>
          </w:p>
          <w:p w14:paraId="652B0C97"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15. Informe de evaluación de las ofertas realizado por la Comisión Técnica o el servidor designado para el efecto, en el que se recomiende a la máxima autoridad o su delegado de forma expresa, la adjudicación o la declaratoria de desierto, según sea el caso;</w:t>
            </w:r>
          </w:p>
          <w:p w14:paraId="3F8EFAA9"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16. Oficios y comunicaciones remitidos por el SERCOP respecto a las acciones de supervisión y control realizados a procedimientos de contratación;</w:t>
            </w:r>
          </w:p>
          <w:p w14:paraId="6B32FE42"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17. Resolución de adjudicación o declaratoria de desierto o cancelación;</w:t>
            </w:r>
          </w:p>
          <w:p w14:paraId="1E511427"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18. Oferta del oferente ganador, la cual será publicada conjuntamente con la calificación de</w:t>
            </w:r>
          </w:p>
          <w:p w14:paraId="277EDE7B"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ofertas, o con la adjudicación en el caso de subasta inversa electrónica, u otros procedimientos que defina el SERCOP;</w:t>
            </w:r>
          </w:p>
          <w:p w14:paraId="4929E502"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19. De ser el caso, la resolución de declaratoria de adjudicatario fallido, y la respectiva notificación;</w:t>
            </w:r>
          </w:p>
          <w:p w14:paraId="67434CC6"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20. Reclamos o recursos presentados;</w:t>
            </w:r>
          </w:p>
          <w:p w14:paraId="1BE539F9"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21. La resolución o pronunciamiento final de los reclamos o recursos presentados;</w:t>
            </w:r>
          </w:p>
          <w:p w14:paraId="43EDCA77"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22. Contrato y su protocolización, de ser el caso, y los documentos que acrediten la calidad de los comparecientes;</w:t>
            </w:r>
          </w:p>
          <w:p w14:paraId="147D1C3D"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23. Garantías;</w:t>
            </w:r>
          </w:p>
          <w:p w14:paraId="1EB0FDF2"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24. Contratos complementarios, modificatorios, o adendas modificatorias, de haberse suscrito;</w:t>
            </w:r>
          </w:p>
          <w:p w14:paraId="070ADFB8"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25. Documento de aprobación de la entidad contratante para la subcontratación, en los casos que corresponda;</w:t>
            </w:r>
          </w:p>
          <w:p w14:paraId="47354F2A"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26. Actas y documentos relacionados con la suspensión y prórrogas del contrato;</w:t>
            </w:r>
          </w:p>
          <w:p w14:paraId="632AD65F"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27. Comunicaciones al contratista respecto de la aplicación de multas u otras sanciones; y, acto administrativo de multa o sanción;</w:t>
            </w:r>
          </w:p>
          <w:p w14:paraId="7D6EEBBA"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28. Cronogramas de ejecución de actividades contractuales y de pagos;</w:t>
            </w:r>
          </w:p>
          <w:p w14:paraId="23562A05"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29. Comprobante de pagos realizados;</w:t>
            </w:r>
          </w:p>
          <w:p w14:paraId="3B96C793"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30. Informe previo a la recepción provisional y final, de ser el caso, actas de entrega recepción, o actos administrativos relacionados con la terminación del contrato;</w:t>
            </w:r>
          </w:p>
          <w:p w14:paraId="2273305D"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31. En caso de terminar unilateralmente el contrato, se deberá publicar la siguiente documentación:</w:t>
            </w:r>
          </w:p>
          <w:p w14:paraId="38133115"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a) Informes técnico, económico y jurídico;</w:t>
            </w:r>
          </w:p>
          <w:p w14:paraId="534ECF8A"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lastRenderedPageBreak/>
              <w:t>b) Notificación de la decisión de terminación unilateral;</w:t>
            </w:r>
          </w:p>
          <w:p w14:paraId="117CC3F7"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 Resolución de terminación unilateral del contrato; y,</w:t>
            </w:r>
          </w:p>
          <w:p w14:paraId="7A76A49B"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 Notificación de la resolución de terminación unilateral del contrato realizada al menos</w:t>
            </w:r>
          </w:p>
          <w:p w14:paraId="3495D242"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por uno de los medios aceptados por la normativa vigente;</w:t>
            </w:r>
          </w:p>
          <w:p w14:paraId="72B002DE"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32. En caso de terminar el contrato por mutuo acuerdo, se publicará el acuerdo de terminación</w:t>
            </w:r>
          </w:p>
          <w:p w14:paraId="656AF722"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de mutuo acuerdo del contrato, así como los informes técnicos y económicos</w:t>
            </w:r>
          </w:p>
          <w:p w14:paraId="5397B030"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correspondientes;</w:t>
            </w:r>
          </w:p>
          <w:p w14:paraId="7D4EFD4C"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33. Certificado de cumplimiento otorgado por la UAFE, y presentado por el contratista en la fase contractual, cuando sea el caso;</w:t>
            </w:r>
          </w:p>
          <w:p w14:paraId="5A5840F9" w14:textId="77777777" w:rsidR="00CF529D" w:rsidRPr="00B137A1"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34. En los procedimientos de contratación para la ejecución de obras se publicará, además: orden de inicio de trabajos; órdenes de cambio y diferencias en cantidades de obras, diferencias de rubros existentes o creación de rubros nuevos; certificación de disponibilidad presupuestaria, de ser el caso; y, decisiones adoptadas por la Junta de Resolución de Disputas cuando sea procedente; y,</w:t>
            </w:r>
          </w:p>
          <w:p w14:paraId="06C16DBF" w14:textId="77777777" w:rsidR="00CF529D"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35. Cualquier documento adicional que la entidad contratante considere pertinente.</w:t>
            </w:r>
          </w:p>
          <w:p w14:paraId="459BF155" w14:textId="77777777" w:rsidR="00CF529D" w:rsidRPr="00B137A1" w:rsidRDefault="00CF529D" w:rsidP="00CF529D">
            <w:pPr>
              <w:autoSpaceDE w:val="0"/>
              <w:autoSpaceDN w:val="0"/>
              <w:adjustRightInd w:val="0"/>
              <w:jc w:val="both"/>
              <w:rPr>
                <w:rFonts w:ascii="Century Gothic" w:hAnsi="Century Gothic" w:cs="Arial"/>
                <w:bCs/>
                <w:i/>
                <w:sz w:val="20"/>
                <w:szCs w:val="20"/>
              </w:rPr>
            </w:pPr>
          </w:p>
          <w:p w14:paraId="0A862585" w14:textId="77777777" w:rsidR="00CF529D"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 información relativa a los proveedores invitados será generada por el propio sistema y se mantendrá disponible de manera pública en el Portal de Contratación Pública.</w:t>
            </w:r>
          </w:p>
          <w:p w14:paraId="575A1869" w14:textId="77777777" w:rsidR="00CF529D" w:rsidRPr="00B137A1" w:rsidRDefault="00CF529D" w:rsidP="00CF529D">
            <w:pPr>
              <w:autoSpaceDE w:val="0"/>
              <w:autoSpaceDN w:val="0"/>
              <w:adjustRightInd w:val="0"/>
              <w:jc w:val="both"/>
              <w:rPr>
                <w:rFonts w:ascii="Century Gothic" w:hAnsi="Century Gothic" w:cs="Arial"/>
                <w:bCs/>
                <w:i/>
                <w:sz w:val="20"/>
                <w:szCs w:val="20"/>
              </w:rPr>
            </w:pPr>
          </w:p>
          <w:p w14:paraId="36675DB8" w14:textId="77777777" w:rsidR="00CF529D"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Cualquier actuación administrativa que se efectúe por delegación, deberá contener la mención expresa del instrumento que otorgó la delegación y por el cual se actúa.</w:t>
            </w:r>
          </w:p>
          <w:p w14:paraId="36833310" w14:textId="77777777" w:rsidR="00CF529D" w:rsidRPr="00B137A1" w:rsidRDefault="00CF529D" w:rsidP="00CF529D">
            <w:pPr>
              <w:autoSpaceDE w:val="0"/>
              <w:autoSpaceDN w:val="0"/>
              <w:adjustRightInd w:val="0"/>
              <w:jc w:val="both"/>
              <w:rPr>
                <w:rFonts w:ascii="Century Gothic" w:hAnsi="Century Gothic" w:cs="Arial"/>
                <w:bCs/>
                <w:i/>
                <w:sz w:val="20"/>
                <w:szCs w:val="20"/>
              </w:rPr>
            </w:pPr>
          </w:p>
          <w:p w14:paraId="624AB0C5" w14:textId="77777777" w:rsidR="00CF529D"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Toda la información relacionada con la fase contractual deberá publicarse, preferentemente, en el momento que se genere y suscriba la documentación relevante.</w:t>
            </w:r>
          </w:p>
          <w:p w14:paraId="666C6C1A" w14:textId="77777777" w:rsidR="00CF529D" w:rsidRPr="00B137A1" w:rsidRDefault="00CF529D" w:rsidP="00CF529D">
            <w:pPr>
              <w:autoSpaceDE w:val="0"/>
              <w:autoSpaceDN w:val="0"/>
              <w:adjustRightInd w:val="0"/>
              <w:jc w:val="both"/>
              <w:rPr>
                <w:rFonts w:ascii="Century Gothic" w:hAnsi="Century Gothic" w:cs="Arial"/>
                <w:bCs/>
                <w:i/>
                <w:sz w:val="20"/>
                <w:szCs w:val="20"/>
              </w:rPr>
            </w:pPr>
          </w:p>
          <w:p w14:paraId="687C08EB" w14:textId="77777777" w:rsidR="00CF529D"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El Servicio Nacional de Contratación Pública podrá calificar otros documentos como información relevante que deberá ser publicada en el Portal.</w:t>
            </w:r>
          </w:p>
          <w:p w14:paraId="796F19A7" w14:textId="77777777" w:rsidR="00CF529D" w:rsidRPr="00B137A1" w:rsidRDefault="00CF529D" w:rsidP="00CF529D">
            <w:pPr>
              <w:autoSpaceDE w:val="0"/>
              <w:autoSpaceDN w:val="0"/>
              <w:adjustRightInd w:val="0"/>
              <w:jc w:val="both"/>
              <w:rPr>
                <w:rFonts w:ascii="Century Gothic" w:hAnsi="Century Gothic" w:cs="Arial"/>
                <w:bCs/>
                <w:i/>
                <w:sz w:val="20"/>
                <w:szCs w:val="20"/>
              </w:rPr>
            </w:pPr>
          </w:p>
          <w:p w14:paraId="3638064B" w14:textId="77777777" w:rsidR="00CF529D"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Las actuaciones registradas en el Portal de Contratación Pública tendrán plena validez jurídica y valor probatorio.</w:t>
            </w:r>
          </w:p>
          <w:p w14:paraId="1E563102" w14:textId="77777777" w:rsidR="00CF529D" w:rsidRPr="00B137A1" w:rsidRDefault="00CF529D" w:rsidP="00CF529D">
            <w:pPr>
              <w:autoSpaceDE w:val="0"/>
              <w:autoSpaceDN w:val="0"/>
              <w:adjustRightInd w:val="0"/>
              <w:jc w:val="both"/>
              <w:rPr>
                <w:rFonts w:ascii="Century Gothic" w:hAnsi="Century Gothic" w:cs="Arial"/>
                <w:bCs/>
                <w:i/>
                <w:sz w:val="20"/>
                <w:szCs w:val="20"/>
              </w:rPr>
            </w:pPr>
          </w:p>
          <w:p w14:paraId="6BA2D152" w14:textId="77777777" w:rsidR="00CF529D" w:rsidRDefault="00CF529D" w:rsidP="00CF529D">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Es obligación de la entidad contratante el cumplimiento del cronograma establecido en el Portal de Contratación Pública, durante la fase precontractual, así como la publicación de la información de las otras fases de la contratación conforme lo previsto en el presente Reglamento.</w:t>
            </w:r>
          </w:p>
          <w:p w14:paraId="60452E73" w14:textId="77777777" w:rsidR="00CF529D" w:rsidRPr="009C3A0E" w:rsidRDefault="00CF529D" w:rsidP="00CF529D">
            <w:pPr>
              <w:autoSpaceDE w:val="0"/>
              <w:autoSpaceDN w:val="0"/>
              <w:adjustRightInd w:val="0"/>
              <w:jc w:val="both"/>
              <w:rPr>
                <w:rFonts w:ascii="Century Gothic" w:hAnsi="Century Gothic" w:cs="Arial"/>
                <w:bCs/>
                <w:sz w:val="20"/>
                <w:szCs w:val="20"/>
              </w:rPr>
            </w:pPr>
          </w:p>
          <w:p w14:paraId="5913CEC3" w14:textId="77777777" w:rsidR="00CF529D" w:rsidRPr="00596946" w:rsidRDefault="00CF529D" w:rsidP="00CF529D">
            <w:pPr>
              <w:autoSpaceDE w:val="0"/>
              <w:autoSpaceDN w:val="0"/>
              <w:adjustRightInd w:val="0"/>
              <w:jc w:val="both"/>
              <w:rPr>
                <w:rFonts w:ascii="Century Gothic" w:hAnsi="Century Gothic" w:cs="Calibri"/>
                <w:color w:val="000000"/>
                <w:sz w:val="20"/>
                <w:szCs w:val="20"/>
                <w:lang w:eastAsia="es-EC"/>
              </w:rPr>
            </w:pPr>
            <w:r>
              <w:rPr>
                <w:rFonts w:ascii="Century Gothic" w:hAnsi="Century Gothic" w:cs="Arial"/>
                <w:b/>
                <w:bCs/>
                <w:sz w:val="20"/>
                <w:szCs w:val="20"/>
              </w:rPr>
              <w:t>Art. 76.-</w:t>
            </w:r>
            <w:r>
              <w:rPr>
                <w:rFonts w:ascii="Century Gothic" w:hAnsi="Century Gothic" w:cs="Arial"/>
                <w:bCs/>
                <w:sz w:val="20"/>
                <w:szCs w:val="20"/>
              </w:rPr>
              <w:t xml:space="preserve"> </w:t>
            </w:r>
            <w:r>
              <w:rPr>
                <w:rFonts w:ascii="Century Gothic" w:hAnsi="Century Gothic" w:cs="Calibri"/>
                <w:color w:val="000000"/>
                <w:sz w:val="20"/>
                <w:szCs w:val="20"/>
                <w:lang w:eastAsia="es-EC"/>
              </w:rPr>
              <w:t>Formulación de las especificaciones técnicas y términos de referencia. – Antes de iniciar un procedimiento de contratación pública, la entidad contratante deberá contar con las especificaciones técnicas de los bienes o rubros requeridos; o, los términos de referencia para servicios, incluidos los de consultoría, de conformidad con lo que establezcan los análisis, diseños, diagnósticos, o estudios con los que, como condición previa, debe contar la entidad contratante.</w:t>
            </w:r>
          </w:p>
          <w:p w14:paraId="67EFF8A3" w14:textId="77777777" w:rsidR="00CF529D" w:rsidRPr="00596946" w:rsidRDefault="00CF529D" w:rsidP="00CF529D">
            <w:pPr>
              <w:autoSpaceDE w:val="0"/>
              <w:autoSpaceDN w:val="0"/>
              <w:adjustRightInd w:val="0"/>
              <w:jc w:val="both"/>
              <w:rPr>
                <w:rFonts w:ascii="Century Gothic" w:hAnsi="Century Gothic" w:cs="Calibri"/>
                <w:color w:val="000000"/>
                <w:sz w:val="20"/>
                <w:szCs w:val="20"/>
                <w:lang w:eastAsia="es-EC"/>
              </w:rPr>
            </w:pPr>
          </w:p>
          <w:p w14:paraId="7C227155" w14:textId="77777777" w:rsidR="00CF529D" w:rsidRPr="00596946" w:rsidRDefault="00CF529D" w:rsidP="00CF529D">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Se entenderá como especificación técnica, a las características fundamentales que deberán cumplir los bienes o rubros requeridos, mientras que los términos de referencia constituirán las condiciones específicas bajo las cuales se desarrollará la consultoría o se prestarán los servicios. La contratación de servicios incluido consultoría estará sujeta a la formulación de términos de referencia. No obstante, atendiendo a la naturaleza del servicio requerido, se podrán incorporar adicionalmente especificaciones técnicas relativas a los bienes necesarios para su ejecución, siempre y cuando no se modifique el objeto de contratación, por tanto, esta variación solo podrá repotenciar o mejorar el objeto de contratación previamente delimitado. </w:t>
            </w:r>
          </w:p>
          <w:p w14:paraId="5062CE34"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
                <w:bCs/>
                <w:sz w:val="20"/>
                <w:szCs w:val="20"/>
              </w:rPr>
              <w:t>Art. 77.-</w:t>
            </w:r>
            <w:r>
              <w:rPr>
                <w:rFonts w:ascii="Century Gothic" w:hAnsi="Century Gothic" w:cs="Arial"/>
                <w:bCs/>
                <w:sz w:val="20"/>
                <w:szCs w:val="20"/>
              </w:rPr>
              <w:t xml:space="preserve"> Especificaciones técnicas. - Para la elaboración de las especificaciones técnicas se considerará lo siguiente:</w:t>
            </w:r>
          </w:p>
          <w:p w14:paraId="798D7256"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Deben ser claras, completas e inequívocas; no deben presentar ambigüedades, ni contradicciones que puedan propiciar diferentes interpretaciones en una misma disposición, ni indicaciones parciales.</w:t>
            </w:r>
          </w:p>
          <w:p w14:paraId="42683817"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lastRenderedPageBreak/>
              <w:t>1. Para el caso de bienes, se establecerán en función de las propiedades de su uso y empleo, así como de sus características fundamentales, requisitos funcionales o tecnológicos, atendiendo los conceptos de capacidad, calidad y/o rendimiento, y de sostenibilidad en lo que fuera aplicable, para los que, de existir, se utilizarán rasgos técnicos, requisitos, símbolos y términos estandarizados;</w:t>
            </w:r>
          </w:p>
          <w:p w14:paraId="333CA518"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2. No se podrá hacer referencia a marcas de fábrica o de comercio, nombres o tipos comerciales, patentes, derechos de autor, diseños o tipos particulares, ni a determinados orígenes, productores o proveedores. Excepcionalmente, y de manera justificada, se podrá hacer dichas referencias para: la adquisición de repuestos o accesorios; y, en las contrataciones que impliquen el desarrollo o mejora de tecnologías ya existentes en la entidad contratante, como la utilización de patentes o marcas exclusivas o tecnologías que no admitan otras alternativas técnicas, en los casos que sea aplicable, la entidad hará constar en el pliego la expresión "o equivalente" u otra similar;</w:t>
            </w:r>
          </w:p>
          <w:p w14:paraId="38966249"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En este caso, la entidad contratante deberá publicar la información respecto a la tecnológica existente y/o maquinaria, la cual deberá plasmarse en un informe técnico debidamente suscrito, el cual será publicado como información relevante.</w:t>
            </w:r>
          </w:p>
          <w:p w14:paraId="7C4558D1"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3. Para el caso de obras, se establecerán para cada uno de los rubros y materiales del proyecto, atendiendo los aspectos de diseño y constructivos. Exceptúese de esta disposición, los contratos de obra bajo la modalidad ingeniería, procura y construcción donde las especificaciones técnicas se basarán solamente en las normas o reglamentos técnicos nacionales, y en ausencia de estos, en los instrumentos internacionales similares, en lo que fuera aplicable.</w:t>
            </w:r>
          </w:p>
          <w:p w14:paraId="0B6D4303"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4. Las especificaciones técnicas se basarán en las normas o reglamentos técnicos nacionales, y en ausencia de estos, en los instrumentos internacionales similares, en lo que fuera aplicable;</w:t>
            </w:r>
          </w:p>
          <w:p w14:paraId="79B091F1"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5. No se podrá establecer o exigir especificaciones, condicionamientos o requerimientos técnicos que no pueda cumplir la oferta nacional, salvo justificación funcional debidamente motivada; y,</w:t>
            </w:r>
          </w:p>
          <w:p w14:paraId="05DBD22D"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6. Las especificaciones técnicas se establecerán con relación exclusiva a los bienes o rubros de obras integrantes del objeto del procedimiento y no con relación a los proveedores.</w:t>
            </w:r>
          </w:p>
          <w:p w14:paraId="5D1AB321"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7. Las especificaciones técnicas deberán contener como mínimo en el caso de que corresponda los siguiente:</w:t>
            </w:r>
          </w:p>
          <w:p w14:paraId="6456EE53"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a) Alcance;</w:t>
            </w:r>
          </w:p>
          <w:p w14:paraId="7601D139"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b) Plazo de ejecución: parciales y/o total;</w:t>
            </w:r>
          </w:p>
          <w:p w14:paraId="3EC46733"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c) Personal técnico/equipo de trabajo/recursos según corresponda, y de ser pertinente;</w:t>
            </w:r>
          </w:p>
          <w:p w14:paraId="0FB7F429"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d) Forma y condiciones de pago;</w:t>
            </w:r>
          </w:p>
          <w:p w14:paraId="1F1E7A33"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e) Lugar de entrega;</w:t>
            </w:r>
          </w:p>
          <w:p w14:paraId="6F42BDEE"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f) Multas;</w:t>
            </w:r>
          </w:p>
          <w:p w14:paraId="6E7D57A2"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g) Obligaciones de las partes;</w:t>
            </w:r>
          </w:p>
          <w:p w14:paraId="5997CB93" w14:textId="77777777" w:rsidR="00CF529D" w:rsidRPr="006C4F8B" w:rsidRDefault="00CF529D" w:rsidP="00CF529D">
            <w:pPr>
              <w:spacing w:before="240"/>
              <w:jc w:val="both"/>
              <w:rPr>
                <w:rFonts w:ascii="Century Gothic" w:hAnsi="Century Gothic" w:cs="Arial"/>
                <w:bCs/>
                <w:sz w:val="20"/>
                <w:szCs w:val="20"/>
              </w:rPr>
            </w:pPr>
            <w:r>
              <w:rPr>
                <w:rFonts w:ascii="Century Gothic" w:hAnsi="Century Gothic" w:cs="Arial"/>
                <w:bCs/>
                <w:sz w:val="20"/>
                <w:szCs w:val="20"/>
              </w:rPr>
              <w:t>h) Garantías técnicas, en el caso que aplique; y,</w:t>
            </w:r>
          </w:p>
          <w:p w14:paraId="6CC04F16" w14:textId="77777777" w:rsidR="005D0BCB" w:rsidRDefault="00CF529D" w:rsidP="00D60923">
            <w:pPr>
              <w:spacing w:before="240"/>
              <w:jc w:val="both"/>
              <w:rPr>
                <w:rFonts w:ascii="Century Gothic" w:hAnsi="Century Gothic" w:cs="Arial"/>
                <w:bCs/>
                <w:sz w:val="20"/>
                <w:szCs w:val="20"/>
              </w:rPr>
            </w:pPr>
            <w:r>
              <w:rPr>
                <w:rFonts w:ascii="Century Gothic" w:hAnsi="Century Gothic" w:cs="Arial"/>
                <w:bCs/>
                <w:sz w:val="20"/>
                <w:szCs w:val="20"/>
              </w:rPr>
              <w:t>i) Parámetros evaluación y calificación según corresponda”.</w:t>
            </w:r>
          </w:p>
          <w:p w14:paraId="0AB504AD" w14:textId="2C50D199" w:rsidR="007B007A" w:rsidRPr="005D0BCB" w:rsidRDefault="00856DB1" w:rsidP="00D60923">
            <w:pPr>
              <w:spacing w:before="240"/>
              <w:jc w:val="both"/>
              <w:rPr>
                <w:rFonts w:ascii="Century Gothic" w:hAnsi="Century Gothic" w:cs="Arial"/>
                <w:bCs/>
                <w:sz w:val="20"/>
                <w:szCs w:val="20"/>
              </w:rPr>
            </w:pPr>
            <w:r>
              <w:rPr>
                <w:rFonts w:ascii="Century Gothic" w:hAnsi="Century Gothic" w:cs="Arial"/>
                <w:b/>
                <w:bCs/>
                <w:sz w:val="20"/>
                <w:szCs w:val="20"/>
              </w:rPr>
              <w:t>“Art. 274.-</w:t>
            </w:r>
            <w:r>
              <w:rPr>
                <w:rFonts w:ascii="Century Gothic" w:hAnsi="Century Gothic" w:cs="Arial"/>
                <w:bCs/>
                <w:sz w:val="20"/>
                <w:szCs w:val="20"/>
              </w:rPr>
              <w:t xml:space="preserve"> </w:t>
            </w:r>
            <w:r>
              <w:rPr>
                <w:rFonts w:ascii="Century Gothic" w:hAnsi="Century Gothic" w:cs="Arial"/>
                <w:bCs/>
                <w:i/>
                <w:sz w:val="20"/>
                <w:szCs w:val="20"/>
              </w:rPr>
              <w:t xml:space="preserve">Procedencia. - Para determinar la procedencia de realizar una feria inclusiva se deberá incluir en los estudios previos el análisis de compra de inclusión, conforme la definición prevista en el numeral 16 </w:t>
              <w:lastRenderedPageBreak/>
              <w:t xml:space="preserve">del artículo 3 de este Reglamento. Las invitaciones para la feria inclusiva además de publicarse en el Portal de Contratación Pública, se deberán publicar en la sede electrónica de la entidad contratante, en caso de que disponga. Se contratarán por feria inclusiva exclusivamente los bienes y servicios, no catalogados, que el SERCOP establezca por CPC, en coordinación con el ente rector de la Economía Popular y Solidaria, y de conformidad a lo establecido en el artículo 132 de la Ley Orgánica de la Economía Popular y Solidaria, previo estudio de inclusión; sin perjuicio de la utilización de otros procedimientos…”. </w:t>
            </w:r>
          </w:p>
          <w:p w14:paraId="5D812A0D" w14:textId="77777777" w:rsidR="007B007A" w:rsidRDefault="007B007A" w:rsidP="007B007A">
            <w:pPr>
              <w:jc w:val="both"/>
              <w:rPr>
                <w:rFonts w:ascii="Century Gothic" w:hAnsi="Century Gothic" w:cs="Arial"/>
                <w:b/>
                <w:bCs/>
                <w:sz w:val="20"/>
                <w:szCs w:val="20"/>
                <w:highlight w:val="yellow"/>
              </w:rPr>
            </w:pPr>
          </w:p>
          <w:p w14:paraId="468261B9" w14:textId="77777777" w:rsidR="007B007A" w:rsidRPr="00A76227" w:rsidRDefault="007B007A" w:rsidP="007B007A">
            <w:pPr>
              <w:jc w:val="both"/>
              <w:rPr>
                <w:rFonts w:ascii="Century Gothic" w:hAnsi="Century Gothic" w:cs="Arial"/>
                <w:bCs/>
                <w:sz w:val="20"/>
                <w:szCs w:val="20"/>
                <w:highlight w:val="yellow"/>
              </w:rPr>
            </w:pPr>
          </w:p>
          <w:p w14:paraId="2BEA7B5D" w14:textId="77777777" w:rsidR="000A6991" w:rsidRPr="009C3A0E" w:rsidRDefault="000A6991" w:rsidP="000A6991">
            <w:pPr>
              <w:jc w:val="both"/>
              <w:rPr>
                <w:rFonts w:ascii="Century Gothic" w:hAnsi="Century Gothic" w:cs="Arial"/>
                <w:b/>
                <w:sz w:val="20"/>
                <w:szCs w:val="20"/>
              </w:rPr>
            </w:pPr>
            <w:r>
              <w:rPr>
                <w:rFonts w:ascii="Century Gothic" w:hAnsi="Century Gothic" w:cs="Arial"/>
                <w:b/>
                <w:sz w:val="20"/>
                <w:szCs w:val="20"/>
              </w:rPr>
              <w:t>NORMAS DE CONTROL DEL SECTOR PÚBLICO Y JURÍDICAS DE DERECHO PRIVADO</w:t>
            </w:r>
          </w:p>
          <w:p w14:paraId="5D8B57CE" w14:textId="77777777" w:rsidR="000A6991" w:rsidRPr="009C3A0E" w:rsidRDefault="000A6991" w:rsidP="000A6991">
            <w:pPr>
              <w:jc w:val="both"/>
              <w:rPr>
                <w:rFonts w:ascii="Century Gothic" w:hAnsi="Century Gothic" w:cs="Arial"/>
                <w:sz w:val="20"/>
                <w:szCs w:val="20"/>
              </w:rPr>
            </w:pPr>
          </w:p>
          <w:p w14:paraId="45B45C71" w14:textId="77777777" w:rsidR="000A6991" w:rsidRPr="009C3A0E" w:rsidRDefault="000A6991" w:rsidP="000A6991">
            <w:pPr>
              <w:jc w:val="both"/>
              <w:rPr>
                <w:rFonts w:ascii="Century Gothic" w:hAnsi="Century Gothic" w:cs="Arial"/>
                <w:i/>
                <w:sz w:val="20"/>
                <w:szCs w:val="20"/>
              </w:rPr>
            </w:pPr>
            <w:r>
              <w:rPr>
                <w:rFonts w:ascii="Century Gothic" w:hAnsi="Century Gothic" w:cs="Arial"/>
                <w:b/>
                <w:sz w:val="20"/>
                <w:szCs w:val="20"/>
              </w:rPr>
              <w:t>Norma general Nro. 406-03</w:t>
            </w:r>
            <w:r>
              <w:rPr>
                <w:rFonts w:ascii="Century Gothic" w:hAnsi="Century Gothic" w:cs="Arial"/>
                <w:sz w:val="20"/>
                <w:szCs w:val="20"/>
              </w:rPr>
              <w:t xml:space="preserve">.- “</w:t>
            </w:r>
            <w:r>
              <w:rPr>
                <w:rFonts w:ascii="Century Gothic" w:hAnsi="Century Gothic" w:cs="Arial"/>
                <w:i/>
                <w:sz w:val="20"/>
                <w:szCs w:val="20"/>
              </w:rPr>
              <w:t>Las entidades y organismos del sector público realizarán las contrataciones para adquisición o arrendamiento de bienes, ejecución de obras y prestación de servicios incluidos los de consultoría, a través del Sistema Nacional de Contratación Pública.</w:t>
            </w:r>
          </w:p>
          <w:p w14:paraId="334B3664" w14:textId="77777777" w:rsidR="000A6991" w:rsidRPr="009C3A0E" w:rsidRDefault="000A6991" w:rsidP="000A6991">
            <w:pPr>
              <w:jc w:val="both"/>
              <w:rPr>
                <w:rFonts w:ascii="Century Gothic" w:hAnsi="Century Gothic" w:cs="Arial"/>
                <w:i/>
                <w:sz w:val="20"/>
                <w:szCs w:val="20"/>
              </w:rPr>
            </w:pPr>
          </w:p>
          <w:p w14:paraId="67725DE9" w14:textId="77777777" w:rsidR="000A6991" w:rsidRPr="009C3A0E" w:rsidRDefault="000A6991" w:rsidP="000A6991">
            <w:pPr>
              <w:jc w:val="both"/>
              <w:rPr>
                <w:rFonts w:ascii="Century Gothic" w:hAnsi="Century Gothic" w:cs="Arial"/>
                <w:i/>
                <w:sz w:val="20"/>
                <w:szCs w:val="20"/>
              </w:rPr>
            </w:pPr>
            <w:r>
              <w:rPr>
                <w:rFonts w:ascii="Century Gothic" w:hAnsi="Century Gothic" w:cs="Arial"/>
                <w:i/>
                <w:sz w:val="20"/>
                <w:szCs w:val="20"/>
              </w:rPr>
              <w:t xml:space="preserve">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w:t>
            </w:r>
          </w:p>
          <w:p w14:paraId="2989ADB4" w14:textId="77777777" w:rsidR="000A6991" w:rsidRPr="009C3A0E" w:rsidRDefault="000A6991" w:rsidP="000A6991">
            <w:pPr>
              <w:jc w:val="both"/>
              <w:rPr>
                <w:rFonts w:ascii="Century Gothic" w:hAnsi="Century Gothic" w:cs="Arial"/>
                <w:i/>
                <w:sz w:val="20"/>
                <w:szCs w:val="20"/>
              </w:rPr>
            </w:pPr>
          </w:p>
          <w:p w14:paraId="21D9A81C" w14:textId="77777777" w:rsidR="000A6991" w:rsidRPr="009C3A0E" w:rsidRDefault="000A6991" w:rsidP="000A6991">
            <w:pPr>
              <w:jc w:val="both"/>
              <w:rPr>
                <w:rFonts w:ascii="Century Gothic" w:hAnsi="Century Gothic" w:cs="Arial"/>
                <w:i/>
                <w:sz w:val="20"/>
                <w:szCs w:val="20"/>
              </w:rPr>
            </w:pPr>
            <w:r>
              <w:rPr>
                <w:rFonts w:ascii="Century Gothic" w:hAnsi="Century Gothic" w:cs="Arial"/>
                <w:i/>
                <w:sz w:val="20"/>
                <w:szCs w:val="20"/>
              </w:rPr>
              <w:t xml:space="preserve">-Las adquisiciones serán solicitadas, autorizadas y ejecutadas con la anticipación suficiente y en las cantidades justificadas técnicamente; y, deberán considerar el tiempo que le toma a cada entidad la realización de un proceso de contratación hasta la adjudicación…”. </w:t>
            </w:r>
          </w:p>
          <w:p w14:paraId="36130C38" w14:textId="77777777" w:rsidR="000A6991" w:rsidRPr="009C3A0E" w:rsidRDefault="000A6991" w:rsidP="000A6991">
            <w:pPr>
              <w:jc w:val="both"/>
              <w:rPr>
                <w:rFonts w:ascii="Century Gothic" w:hAnsi="Century Gothic" w:cs="Arial"/>
                <w:bCs/>
                <w:sz w:val="20"/>
                <w:szCs w:val="20"/>
                <w:highlight w:val="yellow"/>
              </w:rPr>
            </w:pPr>
          </w:p>
          <w:p w14:paraId="13C89637" w14:textId="77777777" w:rsidR="000A6991" w:rsidRDefault="000A6991" w:rsidP="000A6991">
            <w:pPr>
              <w:jc w:val="both"/>
              <w:rPr>
                <w:rFonts w:ascii="Century Gothic" w:hAnsi="Century Gothic" w:cs="Arial"/>
                <w:b/>
                <w:bCs/>
                <w:sz w:val="20"/>
                <w:szCs w:val="20"/>
              </w:rPr>
            </w:pPr>
            <w:r>
              <w:rPr>
                <w:rFonts w:ascii="Century Gothic" w:hAnsi="Century Gothic" w:cs="Arial"/>
                <w:b/>
                <w:bCs/>
                <w:sz w:val="20"/>
                <w:szCs w:val="20"/>
              </w:rPr>
              <w:t xml:space="preserve">ORDENANZA SUSTITUTIVA QUE REGLAMENTA LA ORGANIZACIÓN, ADMINISTRACIÓN Y FUNCIONAMIENTO DEL CENTRO DE RESPONSABILIDAD SOCIAL Y SOLIDARIA MUNICIPAL “JORGE CAJAS GARZÓN” DEL CANTÓN SHUSHUFINDI</w:t>
            </w:r>
          </w:p>
          <w:p w14:paraId="1137759A" w14:textId="77777777" w:rsidR="000A6991" w:rsidRPr="009C3A0E" w:rsidRDefault="000A6991" w:rsidP="000A6991">
            <w:pPr>
              <w:spacing w:before="240"/>
              <w:jc w:val="both"/>
              <w:rPr>
                <w:rFonts w:ascii="Century Gothic" w:hAnsi="Century Gothic" w:cs="Arial"/>
                <w:i/>
                <w:sz w:val="20"/>
                <w:szCs w:val="20"/>
              </w:rPr>
            </w:pPr>
            <w:r>
              <w:rPr>
                <w:rFonts w:ascii="Century Gothic" w:hAnsi="Century Gothic" w:cs="Arial"/>
                <w:b/>
                <w:sz w:val="20"/>
                <w:szCs w:val="20"/>
              </w:rPr>
              <w:t>Art. 1.-</w:t>
            </w:r>
            <w:r>
              <w:rPr>
                <w:rFonts w:ascii="Century Gothic" w:hAnsi="Century Gothic" w:cs="Arial"/>
                <w:sz w:val="20"/>
                <w:szCs w:val="20"/>
              </w:rPr>
              <w:t xml:space="preserve"> Naturaleza Jurídica. 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p w14:paraId="17A76293" w14:textId="77777777" w:rsidR="000A6991" w:rsidRPr="009C3A0E" w:rsidRDefault="000A6991" w:rsidP="000A6991">
            <w:pPr>
              <w:spacing w:before="240"/>
              <w:jc w:val="both"/>
              <w:rPr>
                <w:rFonts w:ascii="Century Gothic" w:hAnsi="Century Gothic" w:cs="Arial"/>
                <w:sz w:val="20"/>
                <w:szCs w:val="20"/>
              </w:rPr>
            </w:pPr>
            <w:r>
              <w:rPr>
                <w:rFonts w:ascii="Century Gothic" w:hAnsi="Century Gothic" w:cs="Arial"/>
                <w:b/>
                <w:i/>
                <w:sz w:val="20"/>
                <w:szCs w:val="20"/>
              </w:rPr>
              <w:t>Art. 28.-</w:t>
            </w:r>
            <w:r>
              <w:rPr>
                <w:rFonts w:ascii="Century Gothic" w:hAnsi="Century Gothic" w:cs="Arial"/>
                <w:i/>
                <w:sz w:val="20"/>
                <w:szCs w:val="20"/>
              </w:rPr>
              <w:t xml:space="preserve"> Son funciones del Director/a General del Centro de Responsabilidad Social y Solidaria Municipal Jorge Cajas Garzón del Cantón Shushufindi, además de las definidas en la Ley, decreto o acuerdos pertinentes, las siguientes…”.  “… 5. Efectuar la contratación de bienes y servicios que se requieran, dentro del límite de gastos autorizados, en el marco del Plan Anual de Contratación, y de forma responsable para suplir necesidades del Centro de Responsabilidad Social y Solidaria Municipal Jorge Cajas Garzón del Cantón Shushufindi…”.</w:t>
            </w:r>
            <w:r>
              <w:rPr>
                <w:rFonts w:ascii="Century Gothic" w:hAnsi="Century Gothic" w:cs="Arial"/>
                <w:sz w:val="20"/>
                <w:szCs w:val="20"/>
              </w:rPr>
              <w:t xml:space="preserve"> </w:t>
            </w:r>
          </w:p>
          <w:p w14:paraId="0B7D5BC6" w14:textId="77777777" w:rsidR="000A6991" w:rsidRPr="009C3A0E" w:rsidRDefault="000A6991" w:rsidP="000A6991">
            <w:pPr>
              <w:spacing w:before="240"/>
              <w:jc w:val="both"/>
              <w:rPr>
                <w:rFonts w:ascii="Century Gothic" w:hAnsi="Century Gothic" w:cs="Arial"/>
                <w:sz w:val="20"/>
                <w:szCs w:val="20"/>
              </w:rPr>
            </w:pPr>
          </w:p>
          <w:p w14:paraId="63368183" w14:textId="77777777" w:rsidR="000A6991" w:rsidRPr="009C3A0E" w:rsidRDefault="000A6991" w:rsidP="000A6991">
            <w:pPr>
              <w:jc w:val="both"/>
              <w:rPr>
                <w:rFonts w:ascii="Century Gothic" w:hAnsi="Century Gothic" w:cs="Arial"/>
                <w:b/>
                <w:sz w:val="20"/>
                <w:szCs w:val="20"/>
              </w:rPr>
            </w:pPr>
            <w:r>
              <w:rPr>
                <w:rFonts w:ascii="Century Gothic" w:hAnsi="Century Gothic" w:cs="Arial"/>
                <w:b/>
                <w:sz w:val="20"/>
                <w:szCs w:val="20"/>
              </w:rPr>
              <w:t>ORDENANZA QUE REGULA Y GARANTIZA LA CONTRATACIÓN DEL EMPLEO PREFERENTE, ADQUISICIÓN DE BIENES Y SERVICIOS DE LAS Y LOS RESIDENTES DEL CANTÓN SHUSHUFINDI.</w:t>
            </w:r>
          </w:p>
          <w:p w14:paraId="3D135C7A" w14:textId="77777777" w:rsidR="000A6991" w:rsidRDefault="000A6991" w:rsidP="000A6991">
            <w:pPr>
              <w:jc w:val="both"/>
              <w:rPr>
                <w:rFonts w:ascii="Century Gothic" w:hAnsi="Century Gothic" w:cs="Arial"/>
                <w:sz w:val="20"/>
                <w:szCs w:val="20"/>
              </w:rPr>
            </w:pPr>
          </w:p>
          <w:p w14:paraId="2ACF7EA7" w14:textId="77777777" w:rsidR="000A6991" w:rsidRPr="009C3A0E" w:rsidRDefault="000A6991" w:rsidP="000A6991">
            <w:pPr>
              <w:jc w:val="both"/>
              <w:rPr>
                <w:rFonts w:ascii="Century Gothic" w:hAnsi="Century Gothic" w:cs="Arial"/>
                <w:sz w:val="20"/>
                <w:szCs w:val="20"/>
              </w:rPr>
            </w:pPr>
            <w:r>
              <w:rPr>
                <w:rFonts w:ascii="Century Gothic" w:hAnsi="Century Gothic" w:cs="Arial"/>
                <w:b/>
                <w:sz w:val="20"/>
                <w:szCs w:val="20"/>
              </w:rPr>
              <w:t>Art. 12.-</w:t>
            </w:r>
            <w:r>
              <w:rPr>
                <w:rFonts w:ascii="Century Gothic" w:hAnsi="Century Gothic" w:cs="Arial"/>
                <w:sz w:val="20"/>
                <w:szCs w:val="20"/>
              </w:rPr>
              <w:t xml:space="preserve"> Las personas naturales y jurídicas determinadas en el Art. 1 de la presente ordenanza, para los contratos de ejecución de obras, adquisición de bienes y prestación de servicios incluidos los de consultoría, el adjudicatario deberá obligatoriamente adquirir no menos del 80% de los bienes, materiales y/o servicios en la jurisdicción del cantón Shushufindi, en el evento de que no existan en la localidad los bienes y/o materiales requeridos, previo la autorización emitida por el Administrador del Contrato, Fiscalizador o quien haga sus veces y una vez que se ha demostrado fehacientemente la inexistencia de los bienes y/o materiales, se podrá adquirir fuera de la circunscripción del cantón Shushufindi, en primer lugar los cantones de la Provincia Sucumbíos y en el evento de no existir, podrá adquirirlos en las demás provincias de la circunscripción territorial amazónica.</w:t>
            </w:r>
          </w:p>
          <w:p w14:paraId="753A8755" w14:textId="77777777" w:rsidR="000A6991" w:rsidRPr="009C3A0E" w:rsidRDefault="000A6991" w:rsidP="000A6991">
            <w:pPr>
              <w:jc w:val="both"/>
              <w:rPr>
                <w:rFonts w:ascii="Century Gothic" w:hAnsi="Century Gothic" w:cs="Arial"/>
                <w:sz w:val="20"/>
                <w:szCs w:val="20"/>
              </w:rPr>
            </w:pPr>
          </w:p>
          <w:p w14:paraId="6166D0B2" w14:textId="77777777" w:rsidR="000A6991" w:rsidRDefault="000A6991" w:rsidP="000A6991">
            <w:pPr>
              <w:jc w:val="both"/>
              <w:rPr>
                <w:rFonts w:ascii="Century Gothic" w:hAnsi="Century Gothic" w:cs="Arial"/>
                <w:sz w:val="20"/>
                <w:szCs w:val="20"/>
              </w:rPr>
            </w:pPr>
            <w:r>
              <w:rPr>
                <w:rFonts w:ascii="Century Gothic" w:hAnsi="Century Gothic" w:cs="Arial"/>
                <w:sz w:val="20"/>
                <w:szCs w:val="20"/>
              </w:rPr>
              <w:lastRenderedPageBreak/>
              <w:t xml:space="preserve">Debiendo los bienes y/o servicios ofertados en esta jurisdicción cantonal, estar acordes a los precios de mercado de la Región, como medida de protección para el oferente/consumidor, los expendedores de los bienes y/o servicios estarán sujetos de control conforme lo preceptúa los artículos 51 y 53 de la Ley Orgánica de Defensa del Consumidor para de esta manera evitar cualquier práctica desleal que tienda a causar la especulación indiscriminada de precios, dentro de la jurisdicción local por las condiciones de vida, entiéndase económica, social, ambiental por ser una zona especial. </w:t>
            </w:r>
          </w:p>
          <w:p w14:paraId="22E14BDD" w14:textId="77777777" w:rsidR="007B007A" w:rsidRDefault="007B007A" w:rsidP="007B007A">
            <w:pPr>
              <w:jc w:val="both"/>
              <w:rPr>
                <w:rFonts w:ascii="Century Gothic" w:hAnsi="Century Gothic" w:cs="Arial"/>
                <w:sz w:val="20"/>
                <w:szCs w:val="20"/>
              </w:rPr>
            </w:pPr>
          </w:p>
          <w:p w14:paraId="382818B4" w14:textId="77777777" w:rsidR="007B007A" w:rsidRPr="009C3A0E" w:rsidRDefault="007B007A" w:rsidP="007B007A">
            <w:pPr>
              <w:spacing w:before="240"/>
              <w:jc w:val="both"/>
              <w:rPr>
                <w:rFonts w:ascii="Century Gothic" w:eastAsia="Times New Roman" w:hAnsi="Century Gothic"/>
                <w:i/>
                <w:iCs/>
                <w:sz w:val="20"/>
                <w:szCs w:val="20"/>
                <w:lang w:eastAsia="es-ES"/>
              </w:rPr>
            </w:pPr>
            <w:r>
              <w:rPr>
                <w:rFonts w:ascii="Century Gothic" w:hAnsi="Century Gothic" w:cs="Arial"/>
                <w:sz w:val="20"/>
                <w:szCs w:val="20"/>
                <w:highlight w:val="yellow"/>
              </w:rPr>
              <w:t>AGREGAR NORMATIVA APLICABLE PERTINENTE AL PROCESO DE CONTRATACION Y REFERENTE A LA UNIDAD REQUIRENTE</w:t>
            </w:r>
            <w:r>
              <w:rPr>
                <w:rFonts w:ascii="Century Gothic" w:hAnsi="Century Gothic" w:cs="Arial"/>
                <w:sz w:val="20"/>
                <w:szCs w:val="20"/>
              </w:rPr>
              <w:t xml:space="preserve"> </w:t>
            </w:r>
          </w:p>
          <w:p w14:paraId="1F70AC38" w14:textId="77777777" w:rsidR="007B007A" w:rsidRPr="009C3A0E" w:rsidRDefault="007B007A" w:rsidP="00295AF7">
            <w:pPr>
              <w:spacing w:before="240"/>
              <w:jc w:val="both"/>
              <w:rPr>
                <w:rFonts w:ascii="Century Gothic" w:eastAsia="Times New Roman" w:hAnsi="Century Gothic"/>
                <w:i/>
                <w:iCs/>
                <w:sz w:val="20"/>
                <w:szCs w:val="20"/>
                <w:lang w:eastAsia="es-ES"/>
              </w:rPr>
            </w:pPr>
          </w:p>
          <w:p w14:paraId="43ED7337" w14:textId="77777777" w:rsidR="00706895" w:rsidRPr="009C3A0E" w:rsidRDefault="00706895" w:rsidP="00295AF7">
            <w:pPr>
              <w:tabs>
                <w:tab w:val="left" w:pos="230"/>
              </w:tabs>
              <w:rPr>
                <w:rFonts w:ascii="Century Gothic" w:hAnsi="Century Gothic"/>
                <w:b/>
                <w:sz w:val="20"/>
                <w:szCs w:val="20"/>
              </w:rPr>
            </w:pPr>
          </w:p>
        </w:tc>
      </w:tr>
      <w:tr w:rsidR="00A6433B" w:rsidRPr="005E3E04" w14:paraId="4005799D" w14:textId="77777777" w:rsidTr="001A76EA">
        <w:tc>
          <w:tcPr>
            <w:tcW w:w="10364" w:type="dxa"/>
            <w:gridSpan w:val="14"/>
            <w:shd w:val="clear" w:color="auto" w:fill="E7B3E3"/>
          </w:tcPr>
          <w:p w14:paraId="0DBDA8E8" w14:textId="48B9FFA3" w:rsidR="00A6433B" w:rsidRPr="00280625" w:rsidRDefault="004E7AFE" w:rsidP="00706895">
            <w:pPr>
              <w:jc w:val="both"/>
              <w:rPr>
                <w:rFonts w:ascii="Century Gothic" w:eastAsia="Times New Roman" w:hAnsi="Century Gothic"/>
                <w:b/>
                <w:bCs/>
                <w:color w:val="FFFFFF" w:themeColor="background1"/>
                <w:sz w:val="28"/>
                <w:szCs w:val="20"/>
                <w:lang w:eastAsia="es-ES"/>
              </w:rPr>
            </w:pPr>
            <w:r>
              <w:rPr>
                <w:rFonts w:ascii="Century Gothic" w:eastAsia="Times New Roman" w:hAnsi="Century Gothic"/>
                <w:b/>
                <w:bCs/>
                <w:sz w:val="28"/>
                <w:szCs w:val="20"/>
                <w:lang w:eastAsia="es-ES"/>
              </w:rPr>
              <w:lastRenderedPageBreak/>
              <w:t xml:space="preserve">3. Alcance</w:t>
            </w:r>
          </w:p>
        </w:tc>
      </w:tr>
      <w:tr w:rsidR="00A6433B" w:rsidRPr="005E3E04" w14:paraId="111E0A07" w14:textId="77777777" w:rsidTr="00280625">
        <w:tc>
          <w:tcPr>
            <w:tcW w:w="10364" w:type="dxa"/>
            <w:gridSpan w:val="14"/>
            <w:shd w:val="clear" w:color="auto" w:fill="FFFFFF" w:themeFill="background1"/>
          </w:tcPr>
          <w:p w14:paraId="4442B2DF" w14:textId="77777777" w:rsidR="00A6433B" w:rsidRDefault="00BD7939" w:rsidP="00706895">
            <w:pPr>
              <w:jc w:val="both"/>
              <w:rPr>
                <w:rFonts w:ascii="Century Gothic" w:eastAsia="Times New Roman" w:hAnsi="Century Gothic"/>
                <w:sz w:val="24"/>
                <w:szCs w:val="24"/>
                <w:lang w:eastAsia="es-ES"/>
              </w:rPr>
            </w:pPr>
            <w:r>
              <w:rPr>
                <w:rFonts w:ascii="Century Gothic" w:eastAsia="Times New Roman" w:hAnsi="Century Gothic"/>
                <w:lang w:eastAsia="es-ES"/>
              </w:rPr>
              <w:t xml:space="preserve">El </w:t>
            </w:r>
            <w:r>
              <w:rPr>
                <w:rFonts w:ascii="Century Gothic" w:eastAsia="Times New Roman" w:hAnsi="Century Gothic"/>
                <w:sz w:val="24"/>
                <w:szCs w:val="24"/>
                <w:lang w:eastAsia="es-ES"/>
              </w:rPr>
              <w:t>Centro de Responsabilidad Social y Solidaria Municipal ¨Jorge Cajas Garzón ¨ del Cantón Shushufindi con la adquisición del servicio de …………</w:t>
            </w:r>
          </w:p>
          <w:p w14:paraId="237D1868" w14:textId="25BC4F80" w:rsidR="00BD7939" w:rsidRPr="00280625" w:rsidRDefault="00BD7939" w:rsidP="00706895">
            <w:pPr>
              <w:jc w:val="both"/>
              <w:rPr>
                <w:rFonts w:ascii="Century Gothic" w:eastAsia="Times New Roman" w:hAnsi="Century Gothic"/>
                <w:b/>
                <w:bCs/>
                <w:color w:val="FFFFFF" w:themeColor="background1"/>
                <w:sz w:val="28"/>
                <w:szCs w:val="20"/>
                <w:lang w:eastAsia="es-ES"/>
              </w:rPr>
            </w:pPr>
          </w:p>
        </w:tc>
      </w:tr>
      <w:tr w:rsidR="00706895" w:rsidRPr="005E3E04" w14:paraId="4BBBE5C4" w14:textId="77777777" w:rsidTr="001A76EA">
        <w:tc>
          <w:tcPr>
            <w:tcW w:w="10364" w:type="dxa"/>
            <w:gridSpan w:val="14"/>
            <w:shd w:val="clear" w:color="auto" w:fill="E7B3E3"/>
          </w:tcPr>
          <w:p w14:paraId="7F4305EA" w14:textId="2BFFD1CE" w:rsidR="00706895" w:rsidRDefault="004E7AFE" w:rsidP="00706895">
            <w:pPr>
              <w:jc w:val="both"/>
              <w:rPr>
                <w:rFonts w:ascii="Century Gothic" w:eastAsia="Times New Roman" w:hAnsi="Century Gothic"/>
                <w:b/>
                <w:bCs/>
                <w:sz w:val="20"/>
                <w:szCs w:val="20"/>
                <w:lang w:eastAsia="es-ES"/>
              </w:rPr>
            </w:pPr>
            <w:r>
              <w:rPr>
                <w:rFonts w:ascii="Century Gothic" w:eastAsia="Times New Roman" w:hAnsi="Century Gothic"/>
                <w:b/>
                <w:bCs/>
                <w:sz w:val="28"/>
                <w:szCs w:val="20"/>
                <w:lang w:eastAsia="es-ES"/>
              </w:rPr>
              <w:t xml:space="preserve">4. Características técnicas de los bienes: </w:t>
            </w:r>
            <w:r>
              <w:rPr>
                <w:rFonts w:ascii="Century Gothic" w:eastAsia="Times New Roman" w:hAnsi="Century Gothic"/>
                <w:b/>
                <w:bCs/>
                <w:sz w:val="20"/>
                <w:szCs w:val="20"/>
                <w:highlight w:val="yellow"/>
                <w:lang w:eastAsia="es-ES"/>
              </w:rPr>
              <w:t xml:space="preserve">(INDICAR DE MANERA INEQUIVOCA EL REQUERIMIENTO CONFORME EL ART. 77 RLOSNCP)</w:t>
            </w:r>
          </w:p>
          <w:p w14:paraId="34401082" w14:textId="77777777" w:rsidR="00A56106" w:rsidRPr="005E3E04" w:rsidRDefault="00A56106" w:rsidP="00706895">
            <w:pPr>
              <w:jc w:val="both"/>
              <w:rPr>
                <w:rFonts w:ascii="Century Gothic" w:eastAsia="Times New Roman" w:hAnsi="Century Gothic"/>
                <w:b/>
                <w:bCs/>
                <w:sz w:val="28"/>
                <w:szCs w:val="20"/>
                <w:lang w:eastAsia="es-ES"/>
              </w:rPr>
            </w:pPr>
          </w:p>
          <w:p w14:paraId="3A99D65B" w14:textId="77777777" w:rsidR="00A56106" w:rsidRPr="00A56106" w:rsidRDefault="00A56106" w:rsidP="00A56106">
            <w:pPr>
              <w:pStyle w:val="Default"/>
              <w:jc w:val="both"/>
              <w:rPr>
                <w:rFonts w:ascii="Century Gothic" w:hAnsi="Century Gothic"/>
                <w:color w:val="auto"/>
                <w:sz w:val="18"/>
              </w:rPr>
            </w:pPr>
            <w:r>
              <w:rPr>
                <w:rFonts w:ascii="Century Gothic" w:hAnsi="Century Gothic"/>
                <w:color w:val="auto"/>
                <w:sz w:val="18"/>
              </w:rPr>
              <w:t>Deben ser claras, completas e inequívocas; no deben presentar ambigüedades, ni contradicciones</w:t>
            </w:r>
          </w:p>
          <w:p w14:paraId="3AC14623" w14:textId="77777777" w:rsidR="00A56106" w:rsidRPr="00A56106" w:rsidRDefault="00A56106" w:rsidP="00A56106">
            <w:pPr>
              <w:pStyle w:val="Default"/>
              <w:jc w:val="both"/>
              <w:rPr>
                <w:rFonts w:ascii="Century Gothic" w:hAnsi="Century Gothic"/>
                <w:color w:val="auto"/>
                <w:sz w:val="18"/>
              </w:rPr>
            </w:pPr>
            <w:r>
              <w:rPr>
                <w:rFonts w:ascii="Century Gothic" w:hAnsi="Century Gothic"/>
                <w:color w:val="auto"/>
                <w:sz w:val="18"/>
              </w:rPr>
              <w:t>que puedan propiciar diferentes interpretaciones en una misma disposición, ni indicaciones</w:t>
            </w:r>
          </w:p>
          <w:p w14:paraId="28792CE4" w14:textId="23AC87D4" w:rsidR="00706895" w:rsidRPr="005E3E04" w:rsidRDefault="00A56106" w:rsidP="00A56106">
            <w:pPr>
              <w:pStyle w:val="Default"/>
              <w:jc w:val="both"/>
              <w:rPr>
                <w:rFonts w:ascii="Century Gothic" w:eastAsia="Times New Roman" w:hAnsi="Century Gothic"/>
                <w:b/>
                <w:bCs/>
                <w:color w:val="auto"/>
                <w:szCs w:val="20"/>
                <w:lang w:eastAsia="es-ES"/>
              </w:rPr>
            </w:pPr>
            <w:r>
              <w:rPr>
                <w:rFonts w:ascii="Century Gothic" w:hAnsi="Century Gothic"/>
                <w:color w:val="auto"/>
                <w:sz w:val="18"/>
              </w:rPr>
              <w:t>parciales.</w:t>
            </w:r>
          </w:p>
        </w:tc>
      </w:tr>
      <w:tr w:rsidR="00706895" w:rsidRPr="005E3E04" w14:paraId="224B5E27" w14:textId="77777777" w:rsidTr="00E46741">
        <w:tc>
          <w:tcPr>
            <w:tcW w:w="10364" w:type="dxa"/>
            <w:gridSpan w:val="14"/>
            <w:shd w:val="clear" w:color="auto" w:fill="AD89C1"/>
          </w:tcPr>
          <w:p w14:paraId="026A803A" w14:textId="77777777" w:rsidR="00706895" w:rsidRPr="005E3E04" w:rsidRDefault="00706895" w:rsidP="00706895">
            <w:pPr>
              <w:spacing w:line="360" w:lineRule="auto"/>
              <w:jc w:val="center"/>
              <w:rPr>
                <w:rFonts w:ascii="Century Gothic" w:eastAsia="Times New Roman" w:hAnsi="Century Gothic" w:cs="Calibri"/>
                <w:b/>
                <w:bCs/>
                <w:sz w:val="24"/>
                <w:szCs w:val="24"/>
                <w:lang w:eastAsia="es-EC"/>
              </w:rPr>
            </w:pPr>
            <w:r>
              <w:rPr>
                <w:rFonts w:ascii="Century Gothic" w:eastAsia="Times New Roman" w:hAnsi="Century Gothic" w:cs="Calibri"/>
                <w:b/>
                <w:bCs/>
                <w:sz w:val="24"/>
                <w:szCs w:val="24"/>
                <w:lang w:eastAsia="es-EC"/>
              </w:rPr>
              <w:t xml:space="preserve">TABLA DE ESPECIFICACIONES TÉCNICAS </w:t>
            </w:r>
          </w:p>
          <w:p w14:paraId="4AC5D363" w14:textId="77777777" w:rsidR="00706895" w:rsidRPr="005E3E04" w:rsidRDefault="00706895" w:rsidP="00706895">
            <w:pPr>
              <w:spacing w:line="360" w:lineRule="auto"/>
              <w:jc w:val="center"/>
              <w:rPr>
                <w:rFonts w:ascii="Century Gothic" w:eastAsia="Times New Roman" w:hAnsi="Century Gothic" w:cs="Calibri"/>
                <w:b/>
                <w:bCs/>
                <w:sz w:val="24"/>
                <w:szCs w:val="24"/>
                <w:lang w:eastAsia="es-EC"/>
              </w:rPr>
            </w:pPr>
            <w:r>
              <w:rPr>
                <w:rFonts w:ascii="Century Gothic" w:eastAsia="Times New Roman" w:hAnsi="Century Gothic" w:cs="Calibri"/>
                <w:b/>
                <w:sz w:val="24"/>
                <w:szCs w:val="24"/>
                <w:highlight w:val="yellow"/>
                <w:lang w:eastAsia="es-EC"/>
              </w:rPr>
              <w:t>ESTERILIZADOR EN SECO DE 256 LITROS</w:t>
            </w:r>
          </w:p>
        </w:tc>
      </w:tr>
      <w:tr w:rsidR="00706895" w:rsidRPr="005E3E04" w14:paraId="6178A9B4" w14:textId="77777777" w:rsidTr="00E46741">
        <w:tc>
          <w:tcPr>
            <w:tcW w:w="10364" w:type="dxa"/>
            <w:gridSpan w:val="14"/>
          </w:tcPr>
          <w:tbl>
            <w:tblPr>
              <w:tblStyle w:val="Tablaconcuadrcula4-nfasis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1"/>
              <w:gridCol w:w="7097"/>
            </w:tblGrid>
            <w:tr w:rsidR="00706895" w:rsidRPr="005E3E04" w14:paraId="12E88DEE" w14:textId="77777777" w:rsidTr="00AF6C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tcPr>
                <w:p w14:paraId="4067B8D6" w14:textId="77777777" w:rsidR="00706895" w:rsidRPr="005E3E04" w:rsidRDefault="00706895" w:rsidP="00706895">
                  <w:pPr>
                    <w:rPr>
                      <w:rFonts w:ascii="Century Gothic" w:eastAsia="Times New Roman" w:hAnsi="Century Gothic" w:cs="Times New Roman"/>
                      <w:color w:val="auto"/>
                      <w:sz w:val="24"/>
                      <w:szCs w:val="24"/>
                      <w:lang w:val="es-EC" w:eastAsia="es-EC"/>
                    </w:rPr>
                  </w:pPr>
                  <w:r>
                    <w:rPr>
                      <w:rFonts w:ascii="Century Gothic" w:hAnsi="Century Gothic" w:cs="Arial"/>
                      <w:color w:val="auto"/>
                      <w:sz w:val="20"/>
                      <w:szCs w:val="20"/>
                    </w:rPr>
                    <w:t>Temperatura</w:t>
                  </w:r>
                </w:p>
              </w:tc>
              <w:tc>
                <w:tcPr>
                  <w:tcW w:w="3500" w:type="pct"/>
                  <w:shd w:val="clear" w:color="auto" w:fill="auto"/>
                  <w:vAlign w:val="bottom"/>
                </w:tcPr>
                <w:p w14:paraId="662ACC32" w14:textId="77777777" w:rsidR="00706895" w:rsidRPr="005E3E04" w:rsidRDefault="00706895" w:rsidP="00706895">
                  <w:pP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auto"/>
                      <w:sz w:val="24"/>
                      <w:szCs w:val="24"/>
                      <w:lang w:val="es-EC" w:eastAsia="es-EC"/>
                    </w:rPr>
                  </w:pPr>
                  <w:r>
                    <w:rPr>
                      <w:rFonts w:ascii="Century Gothic" w:hAnsi="Century Gothic" w:cs="Arial"/>
                      <w:color w:val="auto"/>
                      <w:sz w:val="20"/>
                      <w:szCs w:val="20"/>
                    </w:rPr>
                    <w:t> </w:t>
                  </w:r>
                </w:p>
              </w:tc>
            </w:tr>
            <w:tr w:rsidR="00706895" w:rsidRPr="005E3E04" w14:paraId="6D4FADD9"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7E99AF49"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Rango de temperatura de trabajo</w:t>
                  </w:r>
                </w:p>
              </w:tc>
              <w:tc>
                <w:tcPr>
                  <w:tcW w:w="3500" w:type="pct"/>
                  <w:shd w:val="clear" w:color="auto" w:fill="auto"/>
                </w:tcPr>
                <w:p w14:paraId="68E67CD4"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Sobre la temperatura ambiente hasta +300 °C</w:t>
                  </w:r>
                </w:p>
              </w:tc>
            </w:tr>
            <w:tr w:rsidR="00706895" w:rsidRPr="005E3E04" w14:paraId="50A9F1BB"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24CD600F"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Resolución del indicador valores nominales de la temperatura y valores reales</w:t>
                  </w:r>
                </w:p>
              </w:tc>
              <w:tc>
                <w:tcPr>
                  <w:tcW w:w="3500" w:type="pct"/>
                  <w:shd w:val="clear" w:color="auto" w:fill="auto"/>
                  <w:hideMark/>
                </w:tcPr>
                <w:p w14:paraId="75EAED99"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hasta 99,9 °C: 0,1 / a partir de 100 °C: 0,5</w:t>
                  </w:r>
                </w:p>
              </w:tc>
            </w:tr>
            <w:tr w:rsidR="00706895" w:rsidRPr="005E3E04" w14:paraId="00403056"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22AB632F"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Rango de temperaturas ajustables</w:t>
                  </w:r>
                </w:p>
              </w:tc>
              <w:tc>
                <w:tcPr>
                  <w:tcW w:w="3500" w:type="pct"/>
                  <w:shd w:val="clear" w:color="auto" w:fill="auto"/>
                  <w:hideMark/>
                </w:tcPr>
                <w:p w14:paraId="2408CA28"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+20 hasta +300 °C</w:t>
                  </w:r>
                </w:p>
              </w:tc>
            </w:tr>
            <w:tr w:rsidR="00706895" w:rsidRPr="005E3E04" w14:paraId="5B63AAAB"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398AF184"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Sonda de temperatura</w:t>
                  </w:r>
                </w:p>
              </w:tc>
              <w:tc>
                <w:tcPr>
                  <w:tcW w:w="3500" w:type="pct"/>
                  <w:shd w:val="clear" w:color="auto" w:fill="auto"/>
                </w:tcPr>
                <w:p w14:paraId="2260171E"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2 sondas de temperatura Pt100 (clase DIN A) con sistema de medición de 4 hilos con sistema de control recíproco y traspaso de funciones en caso de valores de temperatura exactamente iguales</w:t>
                  </w:r>
                </w:p>
              </w:tc>
            </w:tr>
            <w:tr w:rsidR="00706895" w:rsidRPr="005E3E04" w14:paraId="75407DC1"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tcPr>
                <w:p w14:paraId="19975AFC" w14:textId="77777777" w:rsidR="00706895" w:rsidRPr="005E3E04" w:rsidRDefault="00706895" w:rsidP="00706895">
                  <w:pPr>
                    <w:rPr>
                      <w:rFonts w:ascii="Century Gothic" w:eastAsia="Times New Roman" w:hAnsi="Century Gothic" w:cs="Times New Roman"/>
                      <w:sz w:val="24"/>
                      <w:szCs w:val="24"/>
                      <w:lang w:val="es-EC" w:eastAsia="es-EC"/>
                    </w:rPr>
                  </w:pPr>
                  <w:r>
                    <w:rPr>
                      <w:rFonts w:ascii="Century Gothic" w:hAnsi="Century Gothic" w:cs="Arial"/>
                      <w:sz w:val="20"/>
                      <w:szCs w:val="20"/>
                    </w:rPr>
                    <w:t>Técnica de regulación</w:t>
                  </w:r>
                </w:p>
              </w:tc>
              <w:tc>
                <w:tcPr>
                  <w:tcW w:w="3500" w:type="pct"/>
                  <w:shd w:val="clear" w:color="auto" w:fill="auto"/>
                  <w:vAlign w:val="bottom"/>
                </w:tcPr>
                <w:p w14:paraId="5E8A287F"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 </w:t>
                  </w:r>
                </w:p>
              </w:tc>
            </w:tr>
            <w:tr w:rsidR="00706895" w:rsidRPr="005E3E04" w14:paraId="058BFACD"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46254B5A" w14:textId="77777777" w:rsidR="00706895" w:rsidRDefault="00706895" w:rsidP="00706895">
                  <w:pPr>
                    <w:rPr>
                      <w:rFonts w:ascii="Century Gothic" w:hAnsi="Century Gothic" w:cs="Arial"/>
                      <w:sz w:val="20"/>
                      <w:szCs w:val="20"/>
                    </w:rPr>
                  </w:pPr>
                  <w:r>
                    <w:rPr>
                      <w:rFonts w:ascii="Century Gothic" w:hAnsi="Century Gothic" w:cs="Arial"/>
                      <w:b w:val="0"/>
                      <w:bCs w:val="0"/>
                      <w:sz w:val="20"/>
                      <w:szCs w:val="20"/>
                    </w:rPr>
                    <w:t>Control</w:t>
                  </w:r>
                </w:p>
                <w:p w14:paraId="1FC88773" w14:textId="77777777" w:rsidR="00706895" w:rsidRPr="0073494A" w:rsidRDefault="00706895" w:rsidP="00706895">
                  <w:pPr>
                    <w:rPr>
                      <w:rFonts w:ascii="Century Gothic" w:eastAsia="Times New Roman" w:hAnsi="Century Gothic" w:cs="Times New Roman"/>
                      <w:sz w:val="24"/>
                      <w:szCs w:val="24"/>
                      <w:lang w:eastAsia="es-EC"/>
                    </w:rPr>
                  </w:pPr>
                </w:p>
                <w:p w14:paraId="6B0112C1" w14:textId="77777777" w:rsidR="00706895" w:rsidRDefault="00706895" w:rsidP="00706895">
                  <w:pPr>
                    <w:rPr>
                      <w:rFonts w:ascii="Century Gothic" w:hAnsi="Century Gothic" w:cs="Arial"/>
                      <w:sz w:val="20"/>
                      <w:szCs w:val="20"/>
                    </w:rPr>
                  </w:pPr>
                </w:p>
                <w:p w14:paraId="233956FF" w14:textId="77777777" w:rsidR="00706895" w:rsidRPr="0073494A" w:rsidRDefault="00706895" w:rsidP="00706895">
                  <w:pPr>
                    <w:ind w:firstLine="708"/>
                    <w:rPr>
                      <w:rFonts w:ascii="Century Gothic" w:eastAsia="Times New Roman" w:hAnsi="Century Gothic" w:cs="Times New Roman"/>
                      <w:sz w:val="24"/>
                      <w:szCs w:val="24"/>
                      <w:lang w:eastAsia="es-EC"/>
                    </w:rPr>
                  </w:pPr>
                </w:p>
              </w:tc>
              <w:tc>
                <w:tcPr>
                  <w:tcW w:w="3500" w:type="pct"/>
                  <w:shd w:val="clear" w:color="auto" w:fill="auto"/>
                </w:tcPr>
                <w:p w14:paraId="69CB493B" w14:textId="77777777" w:rsidR="0070689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Twin DISPLAY. Controlador de microprocesador PID digital multifuncional adaptativo con 2 pantallas de gráfico a color de alta resolución</w:t>
                  </w:r>
                </w:p>
                <w:p w14:paraId="36C5390C" w14:textId="30F31B29" w:rsidR="0070689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7965C57D"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747E6B9B"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1F28D826"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7E589743"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2341D715"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195750A8"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6F58203D"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65171F86"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3F5830DA"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2162AC18"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10CFF287"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0771908B" w14:textId="77777777" w:rsidR="00706895" w:rsidRPr="00FA66D5"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472A4851" w14:textId="77777777" w:rsidR="00706895" w:rsidRPr="007C11A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3C2525CA" w14:textId="77777777" w:rsidR="00706895" w:rsidRPr="007C11A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78279277" w14:textId="77777777" w:rsidR="00706895" w:rsidRPr="007C11A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212AE880" w14:textId="77777777" w:rsidR="00706895" w:rsidRPr="007C11A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p>
                <w:p w14:paraId="0626475A" w14:textId="77777777" w:rsidR="00706895" w:rsidRPr="007C11A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eastAsia="es-EC"/>
                    </w:rPr>
                  </w:pPr>
                </w:p>
              </w:tc>
            </w:tr>
            <w:tr w:rsidR="00706895" w:rsidRPr="005E3E04" w14:paraId="52E9F272"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6621394D"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lastRenderedPageBreak/>
                    <w:t>Temporizador</w:t>
                  </w:r>
                </w:p>
              </w:tc>
              <w:tc>
                <w:tcPr>
                  <w:tcW w:w="3500" w:type="pct"/>
                  <w:shd w:val="clear" w:color="auto" w:fill="auto"/>
                  <w:hideMark/>
                </w:tcPr>
                <w:p w14:paraId="23A02CF8"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Reloj de cuenta atrás digital con indicación del valor nominal de tiempo, ajustable desde 1 minuto hasta 99 días</w:t>
                  </w:r>
                </w:p>
              </w:tc>
            </w:tr>
            <w:tr w:rsidR="00706895" w:rsidRPr="005E3E04" w14:paraId="19068ED9"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7406DCC6"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 xml:space="preserve">Función HeatBALANCE</w:t>
                  </w:r>
                </w:p>
              </w:tc>
              <w:tc>
                <w:tcPr>
                  <w:tcW w:w="3500" w:type="pct"/>
                  <w:shd w:val="clear" w:color="auto" w:fill="auto"/>
                  <w:hideMark/>
                </w:tcPr>
                <w:p w14:paraId="46507E35"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Ajuste de la distribución de la potencia calorífica entre los grupos de radiadores superiores e inferiores de -50 % a +50%</w:t>
                  </w:r>
                </w:p>
              </w:tc>
            </w:tr>
            <w:tr w:rsidR="00706895" w:rsidRPr="005E3E04" w14:paraId="487F6AFC"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2BA2DB46"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 xml:space="preserve">Función SetpointWAIT</w:t>
                  </w:r>
                </w:p>
              </w:tc>
              <w:tc>
                <w:tcPr>
                  <w:tcW w:w="3500" w:type="pct"/>
                  <w:shd w:val="clear" w:color="auto" w:fill="auto"/>
                  <w:hideMark/>
                </w:tcPr>
                <w:p w14:paraId="21C2C800"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El tiempo empieza a contar una vez alcanzada la temperatura nominal</w:t>
                  </w:r>
                </w:p>
              </w:tc>
            </w:tr>
            <w:tr w:rsidR="00706895" w:rsidRPr="005E3E04" w14:paraId="08642EF6"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5B382E38"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Calibración</w:t>
                  </w:r>
                </w:p>
              </w:tc>
              <w:tc>
                <w:tcPr>
                  <w:tcW w:w="3500" w:type="pct"/>
                  <w:shd w:val="clear" w:color="auto" w:fill="auto"/>
                  <w:hideMark/>
                </w:tcPr>
                <w:p w14:paraId="15521108"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Mínimo tres valores de temperatura, a elegir.</w:t>
                  </w:r>
                </w:p>
              </w:tc>
            </w:tr>
            <w:tr w:rsidR="00706895" w:rsidRPr="005E3E04" w14:paraId="7EBF7721"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066A38AF"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Parámetros ajustables</w:t>
                  </w:r>
                </w:p>
              </w:tc>
              <w:tc>
                <w:tcPr>
                  <w:tcW w:w="3500" w:type="pct"/>
                  <w:shd w:val="clear" w:color="auto" w:fill="auto"/>
                  <w:hideMark/>
                </w:tcPr>
                <w:p w14:paraId="340D5696"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Temperatura (Celsius o Fahrenheit), posición de la trampilla de extracción de aire, tiempo de funcionamiento del programa, zona horaria, hora de verano/invierno</w:t>
                  </w:r>
                </w:p>
              </w:tc>
            </w:tr>
            <w:tr w:rsidR="00706895" w:rsidRPr="005E3E04" w14:paraId="6519A586"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hideMark/>
                </w:tcPr>
                <w:p w14:paraId="124A2780"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Ventilación</w:t>
                  </w:r>
                </w:p>
              </w:tc>
              <w:tc>
                <w:tcPr>
                  <w:tcW w:w="3500" w:type="pct"/>
                  <w:shd w:val="clear" w:color="auto" w:fill="auto"/>
                  <w:vAlign w:val="bottom"/>
                  <w:hideMark/>
                </w:tcPr>
                <w:p w14:paraId="41DA0C60"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 </w:t>
                  </w:r>
                </w:p>
              </w:tc>
            </w:tr>
            <w:tr w:rsidR="00706895" w:rsidRPr="005E3E04" w14:paraId="75CAC1D8"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23F0000A"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Ventilación</w:t>
                  </w:r>
                </w:p>
              </w:tc>
              <w:tc>
                <w:tcPr>
                  <w:tcW w:w="3500" w:type="pct"/>
                  <w:shd w:val="clear" w:color="auto" w:fill="auto"/>
                  <w:hideMark/>
                </w:tcPr>
                <w:p w14:paraId="493E4ADC"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Ventilación natural</w:t>
                  </w:r>
                </w:p>
              </w:tc>
            </w:tr>
            <w:tr w:rsidR="00706895" w:rsidRPr="005E3E04" w14:paraId="395CBC59"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7E7B7932"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Aire exterior</w:t>
                  </w:r>
                </w:p>
              </w:tc>
              <w:tc>
                <w:tcPr>
                  <w:tcW w:w="3500" w:type="pct"/>
                  <w:shd w:val="clear" w:color="auto" w:fill="auto"/>
                  <w:hideMark/>
                </w:tcPr>
                <w:p w14:paraId="61E56B92"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A través de trampilla de extracción de aire de configuración electrónica; adición de aire exterior precalentado</w:t>
                  </w:r>
                </w:p>
              </w:tc>
            </w:tr>
            <w:tr w:rsidR="00706895" w:rsidRPr="005E3E04" w14:paraId="1AC72245"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35B262EC"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Extracción de aire</w:t>
                  </w:r>
                </w:p>
              </w:tc>
              <w:tc>
                <w:tcPr>
                  <w:tcW w:w="3500" w:type="pct"/>
                  <w:shd w:val="clear" w:color="auto" w:fill="auto"/>
                  <w:hideMark/>
                </w:tcPr>
                <w:p w14:paraId="1789C13E"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Tubo de extracción con válvula de estrangulación, regulable electrónicamente</w:t>
                  </w:r>
                </w:p>
              </w:tc>
            </w:tr>
            <w:tr w:rsidR="00706895" w:rsidRPr="005E3E04" w14:paraId="6A132644"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hideMark/>
                </w:tcPr>
                <w:p w14:paraId="647A7420" w14:textId="77777777" w:rsidR="00706895" w:rsidRPr="005E3E04" w:rsidRDefault="00706895" w:rsidP="00706895">
                  <w:pPr>
                    <w:rPr>
                      <w:rFonts w:ascii="Century Gothic" w:eastAsia="Times New Roman" w:hAnsi="Century Gothic" w:cs="Times New Roman"/>
                      <w:sz w:val="24"/>
                      <w:szCs w:val="24"/>
                      <w:lang w:val="es-EC" w:eastAsia="es-EC"/>
                    </w:rPr>
                  </w:pPr>
                  <w:r>
                    <w:rPr>
                      <w:rFonts w:ascii="Century Gothic" w:hAnsi="Century Gothic" w:cs="Arial"/>
                      <w:sz w:val="20"/>
                      <w:szCs w:val="20"/>
                    </w:rPr>
                    <w:t>Comunicación</w:t>
                  </w:r>
                </w:p>
              </w:tc>
              <w:tc>
                <w:tcPr>
                  <w:tcW w:w="3500" w:type="pct"/>
                  <w:shd w:val="clear" w:color="auto" w:fill="auto"/>
                  <w:vAlign w:val="bottom"/>
                  <w:hideMark/>
                </w:tcPr>
                <w:p w14:paraId="48C5DF45"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 </w:t>
                  </w:r>
                </w:p>
              </w:tc>
            </w:tr>
            <w:tr w:rsidR="00706895" w:rsidRPr="005E3E04" w14:paraId="39117A4E"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7BAFF47D"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Protocolización de datos</w:t>
                  </w:r>
                </w:p>
              </w:tc>
              <w:tc>
                <w:tcPr>
                  <w:tcW w:w="3500" w:type="pct"/>
                  <w:shd w:val="clear" w:color="auto" w:fill="auto"/>
                </w:tcPr>
                <w:p w14:paraId="28434DEE"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Los datos del desarrollo del programa se guardan en caso de que se interrumpa el suministro eléctrico</w:t>
                  </w:r>
                </w:p>
              </w:tc>
            </w:tr>
            <w:tr w:rsidR="00706895" w:rsidRPr="005E3E04" w14:paraId="7BF34E11"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6E8DC9D1"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Programación</w:t>
                  </w:r>
                </w:p>
              </w:tc>
              <w:tc>
                <w:tcPr>
                  <w:tcW w:w="3500" w:type="pct"/>
                  <w:shd w:val="clear" w:color="auto" w:fill="auto"/>
                  <w:hideMark/>
                </w:tcPr>
                <w:p w14:paraId="50843BB4"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Programación, administración y transmisión de programas a través del puerto Ethernet o el puerto USB mediante el software Autocontrol</w:t>
                  </w:r>
                </w:p>
              </w:tc>
            </w:tr>
            <w:tr w:rsidR="00706895" w:rsidRPr="005E3E04" w14:paraId="31661ECA"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hideMark/>
                </w:tcPr>
                <w:p w14:paraId="4006CEAC" w14:textId="77777777" w:rsidR="00706895" w:rsidRPr="005E3E04" w:rsidRDefault="00706895" w:rsidP="00706895">
                  <w:pPr>
                    <w:rPr>
                      <w:rFonts w:ascii="Century Gothic" w:eastAsia="Times New Roman" w:hAnsi="Century Gothic" w:cs="Times New Roman"/>
                      <w:sz w:val="24"/>
                      <w:szCs w:val="24"/>
                      <w:lang w:val="es-EC" w:eastAsia="es-EC"/>
                    </w:rPr>
                  </w:pPr>
                  <w:r>
                    <w:rPr>
                      <w:rFonts w:ascii="Century Gothic" w:hAnsi="Century Gothic" w:cs="Arial"/>
                      <w:sz w:val="20"/>
                      <w:szCs w:val="20"/>
                    </w:rPr>
                    <w:t>Seguridad</w:t>
                  </w:r>
                </w:p>
              </w:tc>
              <w:tc>
                <w:tcPr>
                  <w:tcW w:w="3500" w:type="pct"/>
                  <w:shd w:val="clear" w:color="auto" w:fill="auto"/>
                  <w:vAlign w:val="bottom"/>
                  <w:hideMark/>
                </w:tcPr>
                <w:p w14:paraId="603376EC"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 </w:t>
                  </w:r>
                </w:p>
              </w:tc>
            </w:tr>
            <w:tr w:rsidR="00706895" w:rsidRPr="005E3E04" w14:paraId="4FDA0869"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35B80A2B"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Vigilancia de la temperatura</w:t>
                  </w:r>
                </w:p>
              </w:tc>
              <w:tc>
                <w:tcPr>
                  <w:tcW w:w="3500" w:type="pct"/>
                  <w:shd w:val="clear" w:color="auto" w:fill="auto"/>
                  <w:hideMark/>
                </w:tcPr>
                <w:p w14:paraId="706AE4D7"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Limitador mecánico de temperatura (TB), clase de protección 1 (DIN 12880), para interrupción del calentamiento aprox. a 20 °C por encima de la temperatura máxima del equipo</w:t>
                  </w:r>
                </w:p>
              </w:tc>
            </w:tr>
            <w:tr w:rsidR="00706895" w:rsidRPr="005E3E04" w14:paraId="5AF050A3"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7A818B2B"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Vigilancia de la temperatura</w:t>
                  </w:r>
                </w:p>
              </w:tc>
              <w:tc>
                <w:tcPr>
                  <w:tcW w:w="3500" w:type="pct"/>
                  <w:shd w:val="clear" w:color="auto" w:fill="auto"/>
                </w:tcPr>
                <w:p w14:paraId="56C4E775"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Sistema de vigilancia de la temperatura (TWW), clase de protección 3.1 o limitador de temperatura (TWB), clase de protección 2, se puede seleccionar en la pantalla</w:t>
                  </w:r>
                </w:p>
              </w:tc>
            </w:tr>
            <w:tr w:rsidR="00706895" w:rsidRPr="005E3E04" w14:paraId="49F1473E"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505274F3"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Auto SAFETY</w:t>
                  </w:r>
                </w:p>
              </w:tc>
              <w:tc>
                <w:tcPr>
                  <w:tcW w:w="3500" w:type="pct"/>
                  <w:shd w:val="clear" w:color="auto" w:fill="auto"/>
                </w:tcPr>
                <w:p w14:paraId="065D7229"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Vigilancia adicional integrada de temperatura excesiva o insuficiente (ASF) que sigue automáticamente el valor nominal en función del intervalo configurado, alarma en caso de exceso de temperatura o temperatura insuficiente, interrupción del calentamiento en caso de exceso de temperatura</w:t>
                  </w:r>
                </w:p>
              </w:tc>
            </w:tr>
            <w:tr w:rsidR="00706895" w:rsidRPr="005E3E04" w14:paraId="426B1CA3"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4846DFC7"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Sistema de autodiagnóstico</w:t>
                  </w:r>
                </w:p>
              </w:tc>
              <w:tc>
                <w:tcPr>
                  <w:tcW w:w="3500" w:type="pct"/>
                  <w:shd w:val="clear" w:color="auto" w:fill="auto"/>
                </w:tcPr>
                <w:p w14:paraId="6203AF5B"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Para detección de fallos</w:t>
                  </w:r>
                </w:p>
              </w:tc>
            </w:tr>
            <w:tr w:rsidR="00706895" w:rsidRPr="005E3E04" w14:paraId="59EF7D90"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2236663E"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Alarma</w:t>
                  </w:r>
                </w:p>
              </w:tc>
              <w:tc>
                <w:tcPr>
                  <w:tcW w:w="3500" w:type="pct"/>
                  <w:shd w:val="clear" w:color="auto" w:fill="auto"/>
                </w:tcPr>
                <w:p w14:paraId="1BFD27E0"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Óptica y acústica</w:t>
                  </w:r>
                </w:p>
              </w:tc>
            </w:tr>
            <w:tr w:rsidR="00706895" w:rsidRPr="005E3E04" w14:paraId="6B780FF6"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tcPr>
                <w:p w14:paraId="53B0D833"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Equipamiento básico</w:t>
                  </w:r>
                </w:p>
              </w:tc>
              <w:tc>
                <w:tcPr>
                  <w:tcW w:w="3500" w:type="pct"/>
                  <w:shd w:val="clear" w:color="auto" w:fill="auto"/>
                  <w:vAlign w:val="bottom"/>
                </w:tcPr>
                <w:p w14:paraId="42630308"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 </w:t>
                  </w:r>
                </w:p>
              </w:tc>
            </w:tr>
            <w:tr w:rsidR="00706895" w:rsidRPr="005E3E04" w14:paraId="4F33309E"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78094A33"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Certificado de calibración de fábrica</w:t>
                  </w:r>
                </w:p>
              </w:tc>
              <w:tc>
                <w:tcPr>
                  <w:tcW w:w="3500" w:type="pct"/>
                  <w:shd w:val="clear" w:color="auto" w:fill="auto"/>
                </w:tcPr>
                <w:p w14:paraId="17706DDB"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Calibración a +160 °C</w:t>
                  </w:r>
                </w:p>
              </w:tc>
            </w:tr>
            <w:tr w:rsidR="00706895" w:rsidRPr="005E3E04" w14:paraId="30FC8C23"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79DCF0DE"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Puerta</w:t>
                  </w:r>
                </w:p>
              </w:tc>
              <w:tc>
                <w:tcPr>
                  <w:tcW w:w="3500" w:type="pct"/>
                  <w:shd w:val="clear" w:color="auto" w:fill="auto"/>
                </w:tcPr>
                <w:p w14:paraId="2C115BD4"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Puerta de acero inoxidable completamente aislada con dos puntos de cierre (cerradura de la puerta con compresión)</w:t>
                  </w:r>
                </w:p>
              </w:tc>
            </w:tr>
            <w:tr w:rsidR="00706895" w:rsidRPr="005E3E04" w14:paraId="764BBDA1"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6398F66D"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Inserciones</w:t>
                  </w:r>
                </w:p>
              </w:tc>
              <w:tc>
                <w:tcPr>
                  <w:tcW w:w="3500" w:type="pct"/>
                  <w:shd w:val="clear" w:color="auto" w:fill="auto"/>
                </w:tcPr>
                <w:p w14:paraId="7E329A05"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 xml:space="preserve">2 rejilla(s) de acero inoxidable, electropulida(s)</w:t>
                  </w:r>
                </w:p>
              </w:tc>
            </w:tr>
            <w:tr w:rsidR="00706895" w:rsidRPr="005E3E04" w14:paraId="1A9EE0C8"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tcPr>
                <w:p w14:paraId="52B6C797" w14:textId="77777777" w:rsidR="00706895" w:rsidRPr="005E3E04" w:rsidRDefault="00706895" w:rsidP="00706895">
                  <w:pPr>
                    <w:rPr>
                      <w:rFonts w:ascii="Century Gothic" w:hAnsi="Century Gothic" w:cs="Arial"/>
                      <w:sz w:val="20"/>
                      <w:szCs w:val="20"/>
                    </w:rPr>
                  </w:pPr>
                  <w:r>
                    <w:rPr>
                      <w:rFonts w:ascii="Century Gothic" w:hAnsi="Century Gothic" w:cs="Arial"/>
                      <w:sz w:val="20"/>
                      <w:szCs w:val="20"/>
                    </w:rPr>
                    <w:t>Interior de acero inoxidable</w:t>
                  </w:r>
                </w:p>
              </w:tc>
              <w:tc>
                <w:tcPr>
                  <w:tcW w:w="3500" w:type="pct"/>
                  <w:shd w:val="clear" w:color="auto" w:fill="auto"/>
                  <w:vAlign w:val="bottom"/>
                </w:tcPr>
                <w:p w14:paraId="4913E0AB"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 </w:t>
                  </w:r>
                </w:p>
              </w:tc>
            </w:tr>
            <w:tr w:rsidR="00706895" w:rsidRPr="005E3E04" w14:paraId="4F722FDB"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5C221845"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Interior</w:t>
                  </w:r>
                </w:p>
              </w:tc>
              <w:tc>
                <w:tcPr>
                  <w:tcW w:w="3500" w:type="pct"/>
                  <w:shd w:val="clear" w:color="auto" w:fill="auto"/>
                </w:tcPr>
                <w:p w14:paraId="2309F113"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Mantenimiento sencillo gracias a las aletas de embutición profunda, calefacción periférica de los 4 lados integrada</w:t>
                  </w:r>
                </w:p>
              </w:tc>
            </w:tr>
            <w:tr w:rsidR="00706895" w:rsidRPr="005E3E04" w14:paraId="5B9C7F53"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6AA2C91C"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Volumen</w:t>
                  </w:r>
                </w:p>
              </w:tc>
              <w:tc>
                <w:tcPr>
                  <w:tcW w:w="3500" w:type="pct"/>
                  <w:shd w:val="clear" w:color="auto" w:fill="auto"/>
                </w:tcPr>
                <w:p w14:paraId="020A2E3D"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256 litros</w:t>
                  </w:r>
                </w:p>
              </w:tc>
            </w:tr>
            <w:tr w:rsidR="00706895" w:rsidRPr="005E3E04" w14:paraId="5DBEF95A"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1DCD7098"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Medidas</w:t>
                  </w:r>
                </w:p>
              </w:tc>
              <w:tc>
                <w:tcPr>
                  <w:tcW w:w="3500" w:type="pct"/>
                  <w:shd w:val="clear" w:color="auto" w:fill="auto"/>
                </w:tcPr>
                <w:p w14:paraId="6D652EBD"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An(A) x Al(B) x F(C): 640 x 800 x 500 mm</w:t>
                  </w:r>
                </w:p>
              </w:tc>
            </w:tr>
            <w:tr w:rsidR="00706895" w:rsidRPr="005E3E04" w14:paraId="694735F2"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0270D2BB"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N° máx. de inserciones</w:t>
                  </w:r>
                </w:p>
              </w:tc>
              <w:tc>
                <w:tcPr>
                  <w:tcW w:w="3500" w:type="pct"/>
                  <w:shd w:val="clear" w:color="auto" w:fill="auto"/>
                </w:tcPr>
                <w:p w14:paraId="3D510C07"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9</w:t>
                  </w:r>
                </w:p>
              </w:tc>
            </w:tr>
            <w:tr w:rsidR="00706895" w:rsidRPr="005E3E04" w14:paraId="7A29126F"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6BED67BE"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lastRenderedPageBreak/>
                    <w:t>Máx. carga de la cámara del equipo:</w:t>
                  </w:r>
                </w:p>
              </w:tc>
              <w:tc>
                <w:tcPr>
                  <w:tcW w:w="3500" w:type="pct"/>
                  <w:shd w:val="clear" w:color="auto" w:fill="auto"/>
                </w:tcPr>
                <w:p w14:paraId="0DB1D445"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300 kg</w:t>
                  </w:r>
                </w:p>
              </w:tc>
            </w:tr>
            <w:tr w:rsidR="00706895" w:rsidRPr="005E3E04" w14:paraId="786E2699"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14B53572"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Carga máx. por inserción</w:t>
                  </w:r>
                </w:p>
              </w:tc>
              <w:tc>
                <w:tcPr>
                  <w:tcW w:w="3500" w:type="pct"/>
                  <w:shd w:val="clear" w:color="auto" w:fill="auto"/>
                </w:tcPr>
                <w:p w14:paraId="06D0197B"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20 kg</w:t>
                  </w:r>
                </w:p>
              </w:tc>
            </w:tr>
            <w:tr w:rsidR="00706895" w:rsidRPr="005E3E04" w14:paraId="5558FA76"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tcPr>
                <w:p w14:paraId="34CBAE26" w14:textId="77777777" w:rsidR="00706895" w:rsidRPr="005E3E04" w:rsidRDefault="00706895" w:rsidP="00706895">
                  <w:pPr>
                    <w:rPr>
                      <w:rFonts w:ascii="Century Gothic" w:hAnsi="Century Gothic" w:cs="Arial"/>
                      <w:sz w:val="20"/>
                      <w:szCs w:val="20"/>
                    </w:rPr>
                  </w:pPr>
                  <w:r>
                    <w:rPr>
                      <w:rFonts w:ascii="Century Gothic" w:hAnsi="Century Gothic" w:cs="Arial"/>
                      <w:sz w:val="20"/>
                      <w:szCs w:val="20"/>
                    </w:rPr>
                    <w:t>Carcasa de acero estructural</w:t>
                  </w:r>
                </w:p>
              </w:tc>
              <w:tc>
                <w:tcPr>
                  <w:tcW w:w="3500" w:type="pct"/>
                  <w:shd w:val="clear" w:color="auto" w:fill="auto"/>
                  <w:vAlign w:val="bottom"/>
                </w:tcPr>
                <w:p w14:paraId="04E4B74F"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 </w:t>
                  </w:r>
                </w:p>
              </w:tc>
            </w:tr>
            <w:tr w:rsidR="00706895" w:rsidRPr="005E3E04" w14:paraId="156BB07D"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518D5383"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Medidas</w:t>
                  </w:r>
                </w:p>
              </w:tc>
              <w:tc>
                <w:tcPr>
                  <w:tcW w:w="3500" w:type="pct"/>
                  <w:shd w:val="clear" w:color="auto" w:fill="auto"/>
                </w:tcPr>
                <w:p w14:paraId="35C9AFD8"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An(D) x Al(E) x F(F): 824 x 1183 x 684 mm (F +56mm manilla de la puerta)</w:t>
                  </w:r>
                </w:p>
              </w:tc>
            </w:tr>
            <w:tr w:rsidR="00706895" w:rsidRPr="005E3E04" w14:paraId="2182C38E"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5F5E55AB"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Carcasa</w:t>
                  </w:r>
                </w:p>
              </w:tc>
              <w:tc>
                <w:tcPr>
                  <w:tcW w:w="3500" w:type="pct"/>
                  <w:shd w:val="clear" w:color="auto" w:fill="auto"/>
                </w:tcPr>
                <w:p w14:paraId="41096C0B"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Pared trasera con chapa de acero galvanizada</w:t>
                  </w:r>
                </w:p>
              </w:tc>
            </w:tr>
            <w:tr w:rsidR="00706895" w:rsidRPr="005E3E04" w14:paraId="4D905BAA"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tcPr>
                <w:p w14:paraId="3094E518"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Datos eléctricos</w:t>
                  </w:r>
                </w:p>
              </w:tc>
              <w:tc>
                <w:tcPr>
                  <w:tcW w:w="3500" w:type="pct"/>
                  <w:shd w:val="clear" w:color="auto" w:fill="auto"/>
                  <w:vAlign w:val="bottom"/>
                </w:tcPr>
                <w:p w14:paraId="5B25A0A2"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 </w:t>
                  </w:r>
                </w:p>
              </w:tc>
            </w:tr>
            <w:tr w:rsidR="00706895" w:rsidRPr="005E3E04" w14:paraId="4DBC900D"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3619696B"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Voltaje consumo eléctrico</w:t>
                  </w:r>
                </w:p>
              </w:tc>
              <w:tc>
                <w:tcPr>
                  <w:tcW w:w="3500" w:type="pct"/>
                  <w:shd w:val="clear" w:color="auto" w:fill="auto"/>
                </w:tcPr>
                <w:p w14:paraId="07EDED7D"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230 V, 50/60 Hz o 115 V, 50/60 Hz</w:t>
                  </w:r>
                </w:p>
              </w:tc>
            </w:tr>
            <w:tr w:rsidR="00706895" w:rsidRPr="005E3E04" w14:paraId="309C6123"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tcPr>
                <w:p w14:paraId="55EF330A" w14:textId="77777777" w:rsidR="00706895" w:rsidRPr="005E3E04" w:rsidRDefault="00706895" w:rsidP="00706895">
                  <w:pPr>
                    <w:rPr>
                      <w:rFonts w:ascii="Century Gothic" w:hAnsi="Century Gothic" w:cs="Arial"/>
                      <w:b w:val="0"/>
                      <w:bCs w:val="0"/>
                      <w:sz w:val="20"/>
                      <w:szCs w:val="20"/>
                    </w:rPr>
                  </w:pPr>
                </w:p>
              </w:tc>
              <w:tc>
                <w:tcPr>
                  <w:tcW w:w="3500" w:type="pct"/>
                  <w:shd w:val="clear" w:color="auto" w:fill="auto"/>
                </w:tcPr>
                <w:p w14:paraId="5485EB30"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aprox. 3400 W o aprox. 1800 W</w:t>
                  </w:r>
                </w:p>
              </w:tc>
            </w:tr>
            <w:tr w:rsidR="00706895" w:rsidRPr="005E3E04" w14:paraId="56698E53"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tcPr>
                <w:p w14:paraId="7A47473D" w14:textId="77777777" w:rsidR="00706895" w:rsidRPr="005E3E04" w:rsidRDefault="00706895" w:rsidP="00706895">
                  <w:pPr>
                    <w:rPr>
                      <w:rFonts w:ascii="Century Gothic" w:hAnsi="Century Gothic" w:cs="Arial"/>
                      <w:sz w:val="20"/>
                      <w:szCs w:val="20"/>
                    </w:rPr>
                  </w:pPr>
                  <w:r>
                    <w:rPr>
                      <w:rFonts w:ascii="Century Gothic" w:hAnsi="Century Gothic" w:cs="Arial"/>
                      <w:sz w:val="20"/>
                      <w:szCs w:val="20"/>
                    </w:rPr>
                    <w:t>Condiciones ambientales</w:t>
                  </w:r>
                </w:p>
              </w:tc>
              <w:tc>
                <w:tcPr>
                  <w:tcW w:w="3500" w:type="pct"/>
                  <w:shd w:val="clear" w:color="auto" w:fill="auto"/>
                  <w:vAlign w:val="bottom"/>
                </w:tcPr>
                <w:p w14:paraId="1B84F2F6"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 </w:t>
                  </w:r>
                </w:p>
              </w:tc>
            </w:tr>
            <w:tr w:rsidR="00706895" w:rsidRPr="005E3E04" w14:paraId="27BED68A"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2A85E084"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Temperatura ambiente</w:t>
                  </w:r>
                </w:p>
              </w:tc>
              <w:tc>
                <w:tcPr>
                  <w:tcW w:w="3500" w:type="pct"/>
                  <w:shd w:val="clear" w:color="auto" w:fill="auto"/>
                </w:tcPr>
                <w:p w14:paraId="6D03040A"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+5 °C a +40 °C</w:t>
                  </w:r>
                </w:p>
              </w:tc>
            </w:tr>
            <w:tr w:rsidR="00706895" w:rsidRPr="005E3E04" w14:paraId="433AAF80" w14:textId="77777777" w:rsidTr="00AF6C8A">
              <w:tc>
                <w:tcPr>
                  <w:cnfStyle w:val="001000000000" w:firstRow="0" w:lastRow="0" w:firstColumn="1" w:lastColumn="0" w:oddVBand="0" w:evenVBand="0" w:oddHBand="0" w:evenHBand="0" w:firstRowFirstColumn="0" w:firstRowLastColumn="0" w:lastRowFirstColumn="0" w:lastRowLastColumn="0"/>
                  <w:tcW w:w="1500" w:type="pct"/>
                  <w:tcBorders>
                    <w:bottom w:val="single" w:sz="4" w:space="0" w:color="auto"/>
                  </w:tcBorders>
                  <w:shd w:val="clear" w:color="auto" w:fill="auto"/>
                </w:tcPr>
                <w:p w14:paraId="5F393CFB"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Humedad del aire (rh)</w:t>
                  </w:r>
                </w:p>
              </w:tc>
              <w:tc>
                <w:tcPr>
                  <w:tcW w:w="3500" w:type="pct"/>
                  <w:tcBorders>
                    <w:bottom w:val="single" w:sz="4" w:space="0" w:color="auto"/>
                  </w:tcBorders>
                  <w:shd w:val="clear" w:color="auto" w:fill="auto"/>
                </w:tcPr>
                <w:p w14:paraId="31E542A6"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Máx. 80%, sin condensación</w:t>
                  </w:r>
                </w:p>
              </w:tc>
            </w:tr>
          </w:tbl>
          <w:p w14:paraId="3D6B8922" w14:textId="77777777" w:rsidR="00706895" w:rsidRPr="005E3E04" w:rsidRDefault="00706895" w:rsidP="00706895">
            <w:pPr>
              <w:rPr>
                <w:rFonts w:ascii="Century Gothic" w:hAnsi="Century Gothic"/>
                <w:b/>
                <w:sz w:val="26"/>
                <w:szCs w:val="26"/>
              </w:rPr>
            </w:pPr>
          </w:p>
        </w:tc>
      </w:tr>
      <w:tr w:rsidR="00706895" w:rsidRPr="005E3E04" w14:paraId="0461B323" w14:textId="77777777" w:rsidTr="00E46741">
        <w:tc>
          <w:tcPr>
            <w:tcW w:w="10364" w:type="dxa"/>
            <w:gridSpan w:val="14"/>
            <w:shd w:val="clear" w:color="auto" w:fill="AD89C1"/>
          </w:tcPr>
          <w:p w14:paraId="6D133BC0" w14:textId="4AC685F7" w:rsidR="00706895" w:rsidRPr="005E3E04" w:rsidRDefault="004E7AFE" w:rsidP="00706895">
            <w:pPr>
              <w:shd w:val="clear" w:color="auto" w:fill="E7B3E3"/>
              <w:jc w:val="both"/>
              <w:rPr>
                <w:rFonts w:ascii="Century Gothic" w:eastAsia="Times New Roman" w:hAnsi="Century Gothic"/>
                <w:b/>
                <w:bCs/>
                <w:sz w:val="28"/>
                <w:szCs w:val="20"/>
                <w:lang w:eastAsia="es-ES"/>
              </w:rPr>
            </w:pPr>
            <w:r>
              <w:rPr>
                <w:rFonts w:ascii="Century Gothic" w:eastAsia="Times New Roman" w:hAnsi="Century Gothic"/>
                <w:b/>
                <w:bCs/>
                <w:sz w:val="28"/>
                <w:szCs w:val="20"/>
                <w:lang w:eastAsia="es-ES"/>
              </w:rPr>
              <w:lastRenderedPageBreak/>
              <w:t xml:space="preserve">5. Diagramas o ilustraciones: </w:t>
            </w:r>
          </w:p>
          <w:p w14:paraId="15E81B08" w14:textId="77777777" w:rsidR="00706895" w:rsidRPr="005E3E04" w:rsidRDefault="00706895" w:rsidP="00706895">
            <w:pPr>
              <w:shd w:val="clear" w:color="auto" w:fill="E7B3E3"/>
              <w:jc w:val="both"/>
              <w:rPr>
                <w:rFonts w:ascii="Century Gothic" w:eastAsia="Times New Roman" w:hAnsi="Century Gothic"/>
                <w:b/>
                <w:bCs/>
                <w:sz w:val="24"/>
                <w:szCs w:val="20"/>
                <w:lang w:eastAsia="es-ES"/>
              </w:rPr>
            </w:pPr>
            <w:r>
              <w:rPr>
                <w:rFonts w:ascii="Century Gothic" w:hAnsi="Century Gothic"/>
                <w:sz w:val="18"/>
              </w:rPr>
              <w:t>El técnico del área requirente podrá utilizar diagramas o ilustraciones para que los proveedores puedan comprender fácilmente el requerimiento institucional.</w:t>
            </w:r>
          </w:p>
        </w:tc>
      </w:tr>
      <w:tr w:rsidR="00706895" w:rsidRPr="005E3E04" w14:paraId="643BBA0D" w14:textId="77777777" w:rsidTr="00E46741">
        <w:tc>
          <w:tcPr>
            <w:tcW w:w="10364" w:type="dxa"/>
            <w:gridSpan w:val="14"/>
            <w:tcBorders>
              <w:bottom w:val="single" w:sz="4" w:space="0" w:color="auto"/>
            </w:tcBorders>
            <w:shd w:val="clear" w:color="auto" w:fill="auto"/>
          </w:tcPr>
          <w:p w14:paraId="33220627" w14:textId="77777777" w:rsidR="00706895" w:rsidRPr="005E3E04" w:rsidRDefault="00706895" w:rsidP="00706895">
            <w:pPr>
              <w:pStyle w:val="Default"/>
              <w:jc w:val="both"/>
              <w:rPr>
                <w:rFonts w:ascii="Century Gothic" w:hAnsi="Century Gothic"/>
                <w:color w:val="auto"/>
                <w:sz w:val="20"/>
              </w:rPr>
            </w:pPr>
            <w:r>
              <w:rPr>
                <w:rFonts w:ascii="Century Gothic" w:hAnsi="Century Gothic"/>
                <w:color w:val="auto"/>
                <w:sz w:val="16"/>
              </w:rPr>
              <w:t xml:space="preserve"> </w:t>
            </w:r>
          </w:p>
          <w:p w14:paraId="3B52E81A" w14:textId="77777777" w:rsidR="00706895" w:rsidRPr="005E3E04" w:rsidRDefault="00706895" w:rsidP="00706895">
            <w:pPr>
              <w:pStyle w:val="Default"/>
              <w:jc w:val="both"/>
              <w:rPr>
                <w:rFonts w:ascii="Century Gothic" w:hAnsi="Century Gothic"/>
                <w:color w:val="auto"/>
                <w:sz w:val="20"/>
              </w:rPr>
            </w:pPr>
            <w:r>
              <w:rPr>
                <w:rFonts w:ascii="Century Gothic" w:hAnsi="Century Gothic"/>
                <w:color w:val="auto"/>
              </w:rPr>
              <w:t xml:space="preserve">                               </w:t>
            </w:r>
            <w:r>
              <w:rPr>
                <w:rFonts w:ascii="Century Gothic" w:hAnsi="Century Gothic"/>
                <w:color w:val="auto"/>
                <w:sz w:val="24"/>
                <w:szCs w:val="24"/>
              </w:rPr>
              <w:object w:dxaOrig="5910" w:dyaOrig="7185" w14:anchorId="0E61E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8pt;height:214.75pt" o:ole="">
                  <v:imagedata r:id="rId8" o:title=""/>
                </v:shape>
                <o:OLEObject Type="Embed" ProgID="PBrush" ShapeID="_x0000_i1025" DrawAspect="Content" ObjectID="_1849153795" r:id="rId9"/>
              </w:object>
            </w:r>
            <w:r>
              <w:rPr>
                <w:rFonts w:ascii="Century Gothic" w:hAnsi="Century Gothic"/>
                <w:color w:val="auto"/>
              </w:rPr>
              <w:t xml:space="preserve">  </w:t>
            </w:r>
          </w:p>
          <w:p w14:paraId="769EF06E" w14:textId="77777777" w:rsidR="00706895" w:rsidRPr="005E3E04" w:rsidRDefault="00706895" w:rsidP="00706895">
            <w:pPr>
              <w:pStyle w:val="Default"/>
              <w:jc w:val="both"/>
              <w:rPr>
                <w:rFonts w:ascii="Century Gothic" w:hAnsi="Century Gothic"/>
                <w:color w:val="auto"/>
                <w:sz w:val="20"/>
              </w:rPr>
            </w:pPr>
          </w:p>
          <w:p w14:paraId="4A7A94A3" w14:textId="77777777" w:rsidR="00706895" w:rsidRPr="005E3E04" w:rsidRDefault="00706895" w:rsidP="00706895">
            <w:pPr>
              <w:spacing w:line="360" w:lineRule="auto"/>
              <w:jc w:val="center"/>
              <w:rPr>
                <w:rFonts w:ascii="Century Gothic" w:eastAsia="Times New Roman" w:hAnsi="Century Gothic" w:cs="Calibri"/>
                <w:b/>
                <w:bCs/>
                <w:sz w:val="24"/>
                <w:szCs w:val="24"/>
                <w:lang w:eastAsia="es-EC"/>
              </w:rPr>
            </w:pPr>
            <w:r>
              <w:rPr>
                <w:rFonts w:ascii="Century Gothic" w:eastAsia="Times New Roman" w:hAnsi="Century Gothic" w:cs="Calibri"/>
                <w:b/>
                <w:sz w:val="24"/>
                <w:szCs w:val="24"/>
                <w:lang w:eastAsia="es-EC"/>
              </w:rPr>
              <w:t>ESTERILIZADOR EN SECO DE 256 LITROS</w:t>
            </w:r>
          </w:p>
          <w:p w14:paraId="5BA5019D" w14:textId="77777777" w:rsidR="00706895" w:rsidRPr="005E3E04" w:rsidRDefault="00706895" w:rsidP="00706895">
            <w:pPr>
              <w:pStyle w:val="Default"/>
              <w:jc w:val="both"/>
              <w:rPr>
                <w:rFonts w:ascii="Century Gothic" w:eastAsia="Times New Roman" w:hAnsi="Century Gothic"/>
                <w:b/>
                <w:bCs/>
                <w:color w:val="auto"/>
                <w:szCs w:val="20"/>
                <w:lang w:eastAsia="es-ES"/>
              </w:rPr>
            </w:pPr>
          </w:p>
        </w:tc>
      </w:tr>
      <w:tr w:rsidR="00706895" w:rsidRPr="005E3E04" w14:paraId="4F1AF6A2" w14:textId="77777777" w:rsidTr="001A76EA">
        <w:tc>
          <w:tcPr>
            <w:tcW w:w="10364" w:type="dxa"/>
            <w:gridSpan w:val="14"/>
            <w:tcBorders>
              <w:bottom w:val="single" w:sz="4" w:space="0" w:color="auto"/>
            </w:tcBorders>
            <w:shd w:val="clear" w:color="auto" w:fill="E7B3E3"/>
          </w:tcPr>
          <w:p w14:paraId="625D72A4" w14:textId="6556BA9D" w:rsidR="00706895" w:rsidRPr="005E3E04" w:rsidRDefault="004E7AFE" w:rsidP="00706895">
            <w:pPr>
              <w:jc w:val="both"/>
              <w:rPr>
                <w:rFonts w:ascii="Century Gothic" w:eastAsia="Times New Roman" w:hAnsi="Century Gothic"/>
                <w:b/>
                <w:bCs/>
                <w:sz w:val="28"/>
                <w:szCs w:val="20"/>
                <w:lang w:eastAsia="es-ES"/>
              </w:rPr>
            </w:pPr>
            <w:r>
              <w:rPr>
                <w:rFonts w:ascii="Century Gothic" w:eastAsia="Times New Roman" w:hAnsi="Century Gothic"/>
                <w:b/>
                <w:bCs/>
                <w:sz w:val="28"/>
                <w:szCs w:val="20"/>
                <w:lang w:eastAsia="es-ES"/>
              </w:rPr>
              <w:t>6. Otros aspectos técnicos que permitan identificar el objeto de contratación:</w:t>
            </w:r>
          </w:p>
          <w:p w14:paraId="3603E953" w14:textId="77777777" w:rsidR="00706895" w:rsidRPr="005E3E04" w:rsidRDefault="00706895" w:rsidP="00706895">
            <w:pPr>
              <w:jc w:val="both"/>
              <w:rPr>
                <w:rFonts w:ascii="Century Gothic" w:eastAsia="Times New Roman" w:hAnsi="Century Gothic"/>
                <w:b/>
                <w:bCs/>
                <w:sz w:val="24"/>
                <w:szCs w:val="20"/>
                <w:lang w:eastAsia="es-ES"/>
              </w:rPr>
            </w:pPr>
            <w:r>
              <w:rPr>
                <w:rFonts w:ascii="Century Gothic" w:hAnsi="Century Gothic"/>
                <w:sz w:val="18"/>
              </w:rPr>
              <w:t>El técnico del área requirente podrá describir cualquier característica que sea necesaria para que los proveedores puedan comprender cuál es el objeto de contratación que necesita la entidad contratante. De ser el caso podrán adjuntar los anexos que sean necesarios para su mejor precisión.</w:t>
            </w:r>
          </w:p>
        </w:tc>
      </w:tr>
      <w:tr w:rsidR="00706895" w:rsidRPr="005E3E04" w14:paraId="5EB55D54" w14:textId="77777777" w:rsidTr="00E46741">
        <w:tc>
          <w:tcPr>
            <w:tcW w:w="10364" w:type="dxa"/>
            <w:gridSpan w:val="14"/>
            <w:tcBorders>
              <w:bottom w:val="single" w:sz="4" w:space="0" w:color="auto"/>
            </w:tcBorders>
            <w:shd w:val="clear" w:color="auto" w:fill="auto"/>
          </w:tcPr>
          <w:p w14:paraId="58748AC1" w14:textId="77777777" w:rsidR="00706895" w:rsidRPr="005E3E04" w:rsidRDefault="00706895" w:rsidP="00706895">
            <w:pPr>
              <w:pStyle w:val="Default"/>
              <w:jc w:val="both"/>
              <w:rPr>
                <w:rFonts w:ascii="Century Gothic" w:hAnsi="Century Gothic"/>
                <w:color w:val="auto"/>
                <w:sz w:val="16"/>
              </w:rPr>
            </w:pPr>
          </w:p>
          <w:p w14:paraId="09FBE928" w14:textId="77777777" w:rsidR="00706895" w:rsidRPr="005E3E04" w:rsidRDefault="00706895" w:rsidP="00706895">
            <w:pPr>
              <w:pStyle w:val="Default"/>
              <w:jc w:val="both"/>
              <w:rPr>
                <w:rFonts w:ascii="Century Gothic" w:hAnsi="Century Gothic"/>
                <w:color w:val="auto"/>
                <w:sz w:val="16"/>
              </w:rPr>
            </w:pPr>
          </w:p>
          <w:tbl>
            <w:tblPr>
              <w:tblStyle w:val="Tablaconcuadrcula4-nfasis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1"/>
              <w:gridCol w:w="7097"/>
            </w:tblGrid>
            <w:tr w:rsidR="00706895" w:rsidRPr="005E3E04" w14:paraId="2830669D" w14:textId="77777777" w:rsidTr="00AF6C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hideMark/>
                </w:tcPr>
                <w:p w14:paraId="202C4B3F" w14:textId="77777777" w:rsidR="00706895" w:rsidRPr="005E3E04" w:rsidRDefault="00706895" w:rsidP="00706895">
                  <w:pPr>
                    <w:rPr>
                      <w:rFonts w:ascii="Century Gothic" w:eastAsia="Times New Roman" w:hAnsi="Century Gothic" w:cs="Times New Roman"/>
                      <w:b w:val="0"/>
                      <w:bCs w:val="0"/>
                      <w:color w:val="auto"/>
                      <w:sz w:val="24"/>
                      <w:szCs w:val="24"/>
                      <w:lang w:val="es-EC" w:eastAsia="es-EC"/>
                    </w:rPr>
                  </w:pPr>
                  <w:r>
                    <w:rPr>
                      <w:rFonts w:ascii="Century Gothic" w:hAnsi="Century Gothic" w:cs="Arial"/>
                      <w:b w:val="0"/>
                      <w:bCs w:val="0"/>
                      <w:color w:val="auto"/>
                      <w:sz w:val="20"/>
                      <w:szCs w:val="20"/>
                    </w:rPr>
                    <w:t>Vigilancia de la temperatura</w:t>
                  </w:r>
                </w:p>
              </w:tc>
              <w:tc>
                <w:tcPr>
                  <w:tcW w:w="3500" w:type="pct"/>
                  <w:shd w:val="clear" w:color="auto" w:fill="auto"/>
                  <w:hideMark/>
                </w:tcPr>
                <w:p w14:paraId="5E4F6DB3" w14:textId="77777777" w:rsidR="00706895" w:rsidRPr="005E3E04" w:rsidRDefault="00706895" w:rsidP="00706895">
                  <w:pP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color w:val="auto"/>
                      <w:sz w:val="24"/>
                      <w:szCs w:val="24"/>
                      <w:lang w:val="es-EC" w:eastAsia="es-EC"/>
                    </w:rPr>
                  </w:pPr>
                  <w:r>
                    <w:rPr>
                      <w:rFonts w:ascii="Century Gothic" w:hAnsi="Century Gothic" w:cs="Arial"/>
                      <w:b w:val="0"/>
                      <w:color w:val="auto"/>
                      <w:sz w:val="20"/>
                      <w:szCs w:val="20"/>
                    </w:rPr>
                    <w:t>Limitador mecánico de temperatura (TB), clase de protección 1 (DIN 12880), para interrupción del calentamiento aprox. a 20 °C por encima de la temperatura máxima del equipo</w:t>
                  </w:r>
                </w:p>
              </w:tc>
            </w:tr>
            <w:tr w:rsidR="00706895" w:rsidRPr="005E3E04" w14:paraId="74F2F18B"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63DD4ECE" w14:textId="77777777" w:rsidR="00706895" w:rsidRPr="005E3E04" w:rsidRDefault="00706895" w:rsidP="00706895">
                  <w:pPr>
                    <w:rPr>
                      <w:rFonts w:ascii="Century Gothic" w:eastAsia="Times New Roman" w:hAnsi="Century Gothic" w:cs="Times New Roman"/>
                      <w:b w:val="0"/>
                      <w:bCs w:val="0"/>
                      <w:sz w:val="24"/>
                      <w:szCs w:val="24"/>
                      <w:lang w:val="es-EC" w:eastAsia="es-EC"/>
                    </w:rPr>
                  </w:pPr>
                  <w:r>
                    <w:rPr>
                      <w:rFonts w:ascii="Century Gothic" w:hAnsi="Century Gothic" w:cs="Arial"/>
                      <w:b w:val="0"/>
                      <w:bCs w:val="0"/>
                      <w:sz w:val="20"/>
                      <w:szCs w:val="20"/>
                    </w:rPr>
                    <w:t>Vigilancia de la temperatura</w:t>
                  </w:r>
                </w:p>
              </w:tc>
              <w:tc>
                <w:tcPr>
                  <w:tcW w:w="3500" w:type="pct"/>
                  <w:shd w:val="clear" w:color="auto" w:fill="auto"/>
                </w:tcPr>
                <w:p w14:paraId="3C251066"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sz w:val="24"/>
                      <w:szCs w:val="24"/>
                      <w:lang w:val="es-EC" w:eastAsia="es-EC"/>
                    </w:rPr>
                  </w:pPr>
                  <w:r>
                    <w:rPr>
                      <w:rFonts w:ascii="Century Gothic" w:hAnsi="Century Gothic" w:cs="Arial"/>
                      <w:sz w:val="20"/>
                      <w:szCs w:val="20"/>
                    </w:rPr>
                    <w:t>Sistema de vigilancia de la temperatura (TWW), clase de protección 3.1 o limitador de temperatura (TWB), clase de protección 2, se puede seleccionar en la pantalla</w:t>
                  </w:r>
                </w:p>
              </w:tc>
            </w:tr>
            <w:tr w:rsidR="00706895" w:rsidRPr="005E3E04" w14:paraId="20103E6D"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27294F31"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Auto SAFETY</w:t>
                  </w:r>
                </w:p>
              </w:tc>
              <w:tc>
                <w:tcPr>
                  <w:tcW w:w="3500" w:type="pct"/>
                  <w:shd w:val="clear" w:color="auto" w:fill="auto"/>
                </w:tcPr>
                <w:p w14:paraId="76CFE1A4"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 xml:space="preserve">Vigilancia adicional integrada de temperatura excesiva o insuficiente (ASF) que sigue automáticamente el valor nominal en función del </w:t>
                    <w:lastRenderedPageBreak/>
                    <w:t>intervalo configurado, alarma en caso de exceso de temperatura o temperatura insuficiente, interrupción del calentamiento en caso de exceso de temperatura</w:t>
                  </w:r>
                </w:p>
              </w:tc>
            </w:tr>
            <w:tr w:rsidR="00706895" w:rsidRPr="005E3E04" w14:paraId="5EF7219C"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2A379A2A"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lastRenderedPageBreak/>
                    <w:t>Sistema de autodiagnóstico</w:t>
                  </w:r>
                </w:p>
              </w:tc>
              <w:tc>
                <w:tcPr>
                  <w:tcW w:w="3500" w:type="pct"/>
                  <w:shd w:val="clear" w:color="auto" w:fill="auto"/>
                </w:tcPr>
                <w:p w14:paraId="32220A6F"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Para detección de fallos</w:t>
                  </w:r>
                </w:p>
              </w:tc>
            </w:tr>
            <w:tr w:rsidR="00706895" w:rsidRPr="005E3E04" w14:paraId="2CE60BC0"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49D13CFB"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Alarma</w:t>
                  </w:r>
                </w:p>
              </w:tc>
              <w:tc>
                <w:tcPr>
                  <w:tcW w:w="3500" w:type="pct"/>
                  <w:shd w:val="clear" w:color="auto" w:fill="auto"/>
                </w:tcPr>
                <w:p w14:paraId="7B1D44D1"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Óptica y acústica</w:t>
                  </w:r>
                </w:p>
              </w:tc>
            </w:tr>
            <w:tr w:rsidR="00706895" w:rsidRPr="005E3E04" w14:paraId="5890753B"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vAlign w:val="center"/>
                </w:tcPr>
                <w:p w14:paraId="105D881D"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Equipamiento básico</w:t>
                  </w:r>
                </w:p>
              </w:tc>
              <w:tc>
                <w:tcPr>
                  <w:tcW w:w="3500" w:type="pct"/>
                  <w:shd w:val="clear" w:color="auto" w:fill="auto"/>
                  <w:vAlign w:val="bottom"/>
                </w:tcPr>
                <w:p w14:paraId="6F3B7F53"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 </w:t>
                  </w:r>
                </w:p>
              </w:tc>
            </w:tr>
            <w:tr w:rsidR="00706895" w:rsidRPr="005E3E04" w14:paraId="7C90ACC1"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38EE4FCC"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Certificado de calibración de fábrica</w:t>
                  </w:r>
                </w:p>
              </w:tc>
              <w:tc>
                <w:tcPr>
                  <w:tcW w:w="3500" w:type="pct"/>
                  <w:shd w:val="clear" w:color="auto" w:fill="auto"/>
                </w:tcPr>
                <w:p w14:paraId="29780626"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Calibración a +160 °C</w:t>
                  </w:r>
                </w:p>
              </w:tc>
            </w:tr>
            <w:tr w:rsidR="00706895" w:rsidRPr="005E3E04" w14:paraId="5DC8A0B0" w14:textId="77777777" w:rsidTr="00AF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554056DB"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Puerta</w:t>
                  </w:r>
                </w:p>
              </w:tc>
              <w:tc>
                <w:tcPr>
                  <w:tcW w:w="3500" w:type="pct"/>
                  <w:shd w:val="clear" w:color="auto" w:fill="auto"/>
                </w:tcPr>
                <w:p w14:paraId="2050FB62" w14:textId="77777777" w:rsidR="00706895" w:rsidRPr="005E3E04" w:rsidRDefault="00706895" w:rsidP="00706895">
                  <w:pPr>
                    <w:cnfStyle w:val="000000100000" w:firstRow="0" w:lastRow="0" w:firstColumn="0" w:lastColumn="0" w:oddVBand="0" w:evenVBand="0" w:oddHBand="1"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Puerta de acero inoxidable completamente aislada con dos puntos de cierre (cerradura de la puerta con compresión)</w:t>
                  </w:r>
                </w:p>
              </w:tc>
            </w:tr>
            <w:tr w:rsidR="00706895" w:rsidRPr="005E3E04" w14:paraId="36D4CD88" w14:textId="77777777" w:rsidTr="00AF6C8A">
              <w:tc>
                <w:tcPr>
                  <w:cnfStyle w:val="001000000000" w:firstRow="0" w:lastRow="0" w:firstColumn="1" w:lastColumn="0" w:oddVBand="0" w:evenVBand="0" w:oddHBand="0" w:evenHBand="0" w:firstRowFirstColumn="0" w:firstRowLastColumn="0" w:lastRowFirstColumn="0" w:lastRowLastColumn="0"/>
                  <w:tcW w:w="1500" w:type="pct"/>
                  <w:shd w:val="clear" w:color="auto" w:fill="auto"/>
                </w:tcPr>
                <w:p w14:paraId="74C961B7" w14:textId="77777777" w:rsidR="00706895" w:rsidRPr="005E3E04" w:rsidRDefault="00706895" w:rsidP="00706895">
                  <w:pPr>
                    <w:rPr>
                      <w:rFonts w:ascii="Century Gothic" w:hAnsi="Century Gothic" w:cs="Arial"/>
                      <w:b w:val="0"/>
                      <w:bCs w:val="0"/>
                      <w:sz w:val="20"/>
                      <w:szCs w:val="20"/>
                    </w:rPr>
                  </w:pPr>
                  <w:r>
                    <w:rPr>
                      <w:rFonts w:ascii="Century Gothic" w:hAnsi="Century Gothic" w:cs="Arial"/>
                      <w:b w:val="0"/>
                      <w:bCs w:val="0"/>
                      <w:sz w:val="20"/>
                      <w:szCs w:val="20"/>
                    </w:rPr>
                    <w:t>Inserciones</w:t>
                  </w:r>
                </w:p>
              </w:tc>
              <w:tc>
                <w:tcPr>
                  <w:tcW w:w="3500" w:type="pct"/>
                  <w:shd w:val="clear" w:color="auto" w:fill="auto"/>
                </w:tcPr>
                <w:p w14:paraId="6CB6AB41" w14:textId="77777777" w:rsidR="00706895" w:rsidRPr="005E3E04" w:rsidRDefault="00706895" w:rsidP="00706895">
                  <w:pPr>
                    <w:cnfStyle w:val="000000000000" w:firstRow="0" w:lastRow="0" w:firstColumn="0" w:lastColumn="0" w:oddVBand="0" w:evenVBand="0" w:oddHBand="0" w:evenHBand="0" w:firstRowFirstColumn="0" w:firstRowLastColumn="0" w:lastRowFirstColumn="0" w:lastRowLastColumn="0"/>
                    <w:rPr>
                      <w:rFonts w:ascii="Century Gothic" w:hAnsi="Century Gothic" w:cs="Arial"/>
                      <w:sz w:val="20"/>
                      <w:szCs w:val="20"/>
                    </w:rPr>
                  </w:pPr>
                  <w:r>
                    <w:rPr>
                      <w:rFonts w:ascii="Century Gothic" w:hAnsi="Century Gothic" w:cs="Arial"/>
                      <w:sz w:val="20"/>
                      <w:szCs w:val="20"/>
                    </w:rPr>
                    <w:t xml:space="preserve">2 rejilla(s) de acero inoxidable, electropulida(s)</w:t>
                  </w:r>
                </w:p>
              </w:tc>
            </w:tr>
          </w:tbl>
          <w:p w14:paraId="1CDDAA0F" w14:textId="77777777" w:rsidR="00706895" w:rsidRPr="005E3E04" w:rsidRDefault="00706895" w:rsidP="00706895">
            <w:pPr>
              <w:pStyle w:val="Default"/>
              <w:jc w:val="both"/>
              <w:rPr>
                <w:rFonts w:ascii="Century Gothic" w:hAnsi="Century Gothic"/>
                <w:color w:val="auto"/>
                <w:sz w:val="16"/>
              </w:rPr>
            </w:pPr>
          </w:p>
          <w:p w14:paraId="7ED1B825" w14:textId="77777777" w:rsidR="00706895" w:rsidRPr="005E3E04" w:rsidRDefault="00706895" w:rsidP="00706895">
            <w:pPr>
              <w:pStyle w:val="Default"/>
              <w:jc w:val="both"/>
              <w:rPr>
                <w:rFonts w:ascii="Century Gothic" w:hAnsi="Century Gothic"/>
                <w:color w:val="auto"/>
                <w:sz w:val="16"/>
              </w:rPr>
            </w:pPr>
          </w:p>
          <w:p w14:paraId="4E925435" w14:textId="77777777" w:rsidR="00706895" w:rsidRPr="005E3E04" w:rsidRDefault="00706895" w:rsidP="00706895">
            <w:pPr>
              <w:pStyle w:val="Default"/>
              <w:jc w:val="both"/>
              <w:rPr>
                <w:rFonts w:ascii="Century Gothic" w:hAnsi="Century Gothic"/>
                <w:color w:val="auto"/>
                <w:sz w:val="16"/>
              </w:rPr>
            </w:pPr>
          </w:p>
        </w:tc>
      </w:tr>
      <w:tr w:rsidR="00706895" w:rsidRPr="005E3E04" w14:paraId="18EE0DAC" w14:textId="77777777" w:rsidTr="001A76EA">
        <w:tc>
          <w:tcPr>
            <w:tcW w:w="10364" w:type="dxa"/>
            <w:gridSpan w:val="14"/>
            <w:shd w:val="clear" w:color="auto" w:fill="E7B3E3"/>
          </w:tcPr>
          <w:p w14:paraId="6ECA44D1" w14:textId="3DAA5A8E" w:rsidR="00706895" w:rsidRPr="005E3E04" w:rsidRDefault="004E7AFE" w:rsidP="00706895">
            <w:pPr>
              <w:jc w:val="both"/>
              <w:rPr>
                <w:rFonts w:ascii="Century Gothic" w:eastAsia="Times New Roman" w:hAnsi="Century Gothic"/>
                <w:b/>
                <w:bCs/>
                <w:sz w:val="32"/>
                <w:szCs w:val="20"/>
                <w:lang w:eastAsia="es-ES"/>
              </w:rPr>
            </w:pPr>
            <w:r>
              <w:rPr>
                <w:rFonts w:ascii="Century Gothic" w:eastAsia="Times New Roman" w:hAnsi="Century Gothic"/>
                <w:b/>
                <w:bCs/>
                <w:sz w:val="28"/>
                <w:szCs w:val="20"/>
                <w:lang w:eastAsia="es-ES"/>
              </w:rPr>
              <w:lastRenderedPageBreak/>
              <w:t xml:space="preserve">7. Muestras </w:t>
            </w:r>
          </w:p>
          <w:p w14:paraId="60BEF5F1" w14:textId="77777777" w:rsidR="00706895" w:rsidRPr="005E3E04" w:rsidRDefault="00706895" w:rsidP="00706895">
            <w:pPr>
              <w:pStyle w:val="Default"/>
              <w:jc w:val="both"/>
              <w:rPr>
                <w:rFonts w:ascii="Century Gothic" w:eastAsia="Times New Roman" w:hAnsi="Century Gothic"/>
                <w:b/>
                <w:bCs/>
                <w:color w:val="auto"/>
                <w:szCs w:val="20"/>
                <w:lang w:eastAsia="es-ES"/>
              </w:rPr>
            </w:pPr>
            <w:r>
              <w:rPr>
                <w:rFonts w:ascii="Century Gothic" w:hAnsi="Century Gothic"/>
                <w:color w:val="auto"/>
                <w:sz w:val="18"/>
              </w:rPr>
              <w:t xml:space="preserve">Solamente cuando sea necesario para poder evaluar las ofertas en base a algo tangible y real, el pedido de muestras deberá ser considerado para aquellos bienes que sean de fácil acceso a los proveedores, y tal situación no afectará el principio de concurrencia, constituyéndose en una barrera de participación. Se deberá detallar la forma de presentación y devolución de las muestras. </w:t>
            </w:r>
          </w:p>
        </w:tc>
      </w:tr>
      <w:tr w:rsidR="00706895" w:rsidRPr="005E3E04" w14:paraId="35C7E057" w14:textId="77777777" w:rsidTr="00E46741">
        <w:tc>
          <w:tcPr>
            <w:tcW w:w="10364" w:type="dxa"/>
            <w:gridSpan w:val="14"/>
          </w:tcPr>
          <w:p w14:paraId="7F8F4145" w14:textId="029B2E48" w:rsidR="00706895" w:rsidRPr="002B0923" w:rsidRDefault="00033F26" w:rsidP="00706895">
            <w:pPr>
              <w:rPr>
                <w:rFonts w:ascii="Century Gothic" w:hAnsi="Century Gothic"/>
                <w:sz w:val="26"/>
                <w:szCs w:val="26"/>
                <w:highlight w:val="yellow"/>
              </w:rPr>
            </w:pPr>
            <w:r>
              <w:rPr>
                <w:rFonts w:ascii="Century Gothic" w:hAnsi="Century Gothic"/>
                <w:sz w:val="26"/>
                <w:szCs w:val="26"/>
                <w:highlight w:val="yellow"/>
              </w:rPr>
              <w:t xml:space="preserve">(VERIFICAR APLICABILIDAD O NO)</w:t>
            </w:r>
          </w:p>
        </w:tc>
      </w:tr>
      <w:tr w:rsidR="00706895" w:rsidRPr="005E3E04" w14:paraId="2BC4FCE7" w14:textId="77777777" w:rsidTr="001A76EA">
        <w:tc>
          <w:tcPr>
            <w:tcW w:w="10364" w:type="dxa"/>
            <w:gridSpan w:val="14"/>
            <w:shd w:val="clear" w:color="auto" w:fill="E7B3E3"/>
          </w:tcPr>
          <w:p w14:paraId="4FF62F37" w14:textId="5A76C6F8" w:rsidR="00706895" w:rsidRPr="005E3E04" w:rsidRDefault="004E7AFE" w:rsidP="00706895">
            <w:pPr>
              <w:jc w:val="both"/>
              <w:rPr>
                <w:rFonts w:ascii="Century Gothic" w:eastAsia="Times New Roman" w:hAnsi="Century Gothic"/>
                <w:b/>
                <w:bCs/>
                <w:sz w:val="32"/>
                <w:szCs w:val="20"/>
                <w:lang w:eastAsia="es-ES"/>
              </w:rPr>
            </w:pPr>
            <w:r>
              <w:rPr>
                <w:rFonts w:ascii="Century Gothic" w:eastAsia="Times New Roman" w:hAnsi="Century Gothic"/>
                <w:b/>
                <w:bCs/>
                <w:sz w:val="28"/>
                <w:szCs w:val="20"/>
                <w:lang w:eastAsia="es-ES"/>
              </w:rPr>
              <w:t>8. Catálogos o Fichas Técnicas</w:t>
            </w:r>
          </w:p>
          <w:p w14:paraId="327E2101" w14:textId="77777777" w:rsidR="00706895" w:rsidRPr="005E3E04" w:rsidRDefault="00706895" w:rsidP="00706895">
            <w:pPr>
              <w:pStyle w:val="Default"/>
              <w:jc w:val="both"/>
              <w:rPr>
                <w:rFonts w:ascii="Century Gothic" w:eastAsia="Times New Roman" w:hAnsi="Century Gothic"/>
                <w:b/>
                <w:bCs/>
                <w:color w:val="auto"/>
                <w:szCs w:val="20"/>
                <w:lang w:eastAsia="es-ES"/>
              </w:rPr>
            </w:pPr>
            <w:r>
              <w:rPr>
                <w:rFonts w:ascii="Century Gothic" w:hAnsi="Century Gothic"/>
                <w:color w:val="auto"/>
                <w:sz w:val="18"/>
              </w:rPr>
              <w:t>En los casos que sean necesario la entidad contratante podrá pedir que los proveedores adjunten catálogos o fichas técnicas que respalden y guarden coherencia con el objeto ofertado, lo cual ayudará a clarificar la evaluación de ofertas en la etapa precontractual.</w:t>
            </w:r>
          </w:p>
        </w:tc>
      </w:tr>
      <w:tr w:rsidR="00850424" w:rsidRPr="005E3E04" w14:paraId="00D50FB3" w14:textId="77777777" w:rsidTr="00850424">
        <w:tc>
          <w:tcPr>
            <w:tcW w:w="10364" w:type="dxa"/>
            <w:gridSpan w:val="14"/>
            <w:shd w:val="clear" w:color="auto" w:fill="FFFFFF" w:themeFill="background1"/>
          </w:tcPr>
          <w:p w14:paraId="0495C5E2" w14:textId="0E37A0E6" w:rsidR="00850424" w:rsidRPr="00850424" w:rsidRDefault="00850424" w:rsidP="00850424">
            <w:pPr>
              <w:rPr>
                <w:rFonts w:ascii="Century Gothic" w:hAnsi="Century Gothic"/>
              </w:rPr>
            </w:pPr>
            <w:r>
              <w:rPr>
                <w:rFonts w:ascii="Century Gothic" w:hAnsi="Century Gothic"/>
              </w:rPr>
              <w:t xml:space="preserve">El proveedor deberá anexar a su oferta catálogos o links de páginas web que permitan contrastar los productos ofertados y que serán cumplidos en caso de resultar contratista. </w:t>
            </w:r>
          </w:p>
        </w:tc>
      </w:tr>
      <w:tr w:rsidR="00850424" w:rsidRPr="005E3E04" w14:paraId="0D4243AD" w14:textId="77777777" w:rsidTr="001A76EA">
        <w:tc>
          <w:tcPr>
            <w:tcW w:w="10364" w:type="dxa"/>
            <w:gridSpan w:val="14"/>
            <w:shd w:val="clear" w:color="auto" w:fill="E7B3E3"/>
          </w:tcPr>
          <w:p w14:paraId="5813DE41" w14:textId="13231DC1" w:rsidR="00850424" w:rsidRPr="00E94047" w:rsidRDefault="00A67A99" w:rsidP="00706895">
            <w:pPr>
              <w:jc w:val="both"/>
              <w:rPr>
                <w:rFonts w:ascii="Century Gothic" w:eastAsia="Times New Roman" w:hAnsi="Century Gothic"/>
                <w:b/>
                <w:bCs/>
                <w:sz w:val="32"/>
                <w:szCs w:val="20"/>
                <w:lang w:eastAsia="es-ES"/>
              </w:rPr>
            </w:pPr>
            <w:r>
              <w:rPr>
                <w:rFonts w:ascii="Century Gothic" w:eastAsia="Times New Roman" w:hAnsi="Century Gothic"/>
                <w:b/>
                <w:bCs/>
                <w:sz w:val="28"/>
                <w:szCs w:val="20"/>
                <w:lang w:eastAsia="es-ES"/>
              </w:rPr>
              <w:t xml:space="preserve">9. Mejor Valor por Dinero (Art. 74 RLOSNCP)</w:t>
            </w:r>
          </w:p>
        </w:tc>
      </w:tr>
      <w:tr w:rsidR="00706895" w:rsidRPr="005E3E04" w14:paraId="2B818CCE" w14:textId="77777777" w:rsidTr="00E46741">
        <w:tc>
          <w:tcPr>
            <w:tcW w:w="10364" w:type="dxa"/>
            <w:gridSpan w:val="14"/>
          </w:tcPr>
          <w:p w14:paraId="3F270615" w14:textId="2087D5DD" w:rsidR="00706895" w:rsidRPr="005E3E04" w:rsidRDefault="00717508" w:rsidP="00706895">
            <w:pPr>
              <w:rPr>
                <w:rFonts w:ascii="Century Gothic" w:hAnsi="Century Gothic"/>
              </w:rPr>
            </w:pPr>
            <w:r>
              <w:rPr>
                <w:rFonts w:ascii="Century Gothic" w:hAnsi="Century Gothic"/>
                <w:highlight w:val="yellow"/>
              </w:rPr>
              <w:t xml:space="preserve">JUSTIFICAR EL CRITERIO DE MEJOR VALOR POR DINERO APLICABLE A ESTA CONTRATACIÓN (P.EJ. PRECIO, CALIDAD, GARANTÍA, PLAZO DE ENTREGA, COSTO DE CICLO DE VIDA, CAPACIDAD TÉCNICA DEL PROVEEDOR), CONFORME AL ART. 74 DEL REGLAMENTO A LA LOSNCP</w:t>
            </w:r>
          </w:p>
          <w:p w14:paraId="57211723" w14:textId="77777777" w:rsidR="00706895" w:rsidRPr="005E3E04" w:rsidRDefault="00706895" w:rsidP="00706895">
            <w:pPr>
              <w:rPr>
                <w:rFonts w:ascii="Century Gothic" w:hAnsi="Century Gothic"/>
              </w:rPr>
            </w:pPr>
          </w:p>
        </w:tc>
      </w:tr>
      <w:tr w:rsidR="00706895" w:rsidRPr="005E3E04" w14:paraId="386B8285" w14:textId="77777777" w:rsidTr="001A76EA">
        <w:tc>
          <w:tcPr>
            <w:tcW w:w="10364" w:type="dxa"/>
            <w:gridSpan w:val="14"/>
            <w:shd w:val="clear" w:color="auto" w:fill="E7B3E3"/>
          </w:tcPr>
          <w:p w14:paraId="240394AD" w14:textId="49074B96" w:rsidR="00706895" w:rsidRPr="005E3E04" w:rsidRDefault="00A67A99" w:rsidP="00706895">
            <w:pPr>
              <w:jc w:val="both"/>
              <w:rPr>
                <w:rFonts w:ascii="Century Gothic" w:eastAsia="Times New Roman" w:hAnsi="Century Gothic"/>
                <w:bCs/>
                <w:sz w:val="28"/>
                <w:szCs w:val="20"/>
                <w:lang w:eastAsia="es-ES"/>
              </w:rPr>
            </w:pPr>
            <w:r>
              <w:rPr>
                <w:rFonts w:ascii="Century Gothic" w:eastAsia="Times New Roman" w:hAnsi="Century Gothic"/>
                <w:b/>
                <w:bCs/>
                <w:sz w:val="28"/>
                <w:szCs w:val="20"/>
                <w:lang w:eastAsia="es-ES"/>
              </w:rPr>
              <w:t xml:space="preserve">10. Detalles del objeto: </w:t>
            </w:r>
            <w:r>
              <w:rPr>
                <w:rFonts w:ascii="Century Gothic" w:eastAsia="Times New Roman" w:hAnsi="Century Gothic"/>
                <w:bCs/>
                <w:sz w:val="28"/>
                <w:szCs w:val="20"/>
                <w:lang w:eastAsia="es-ES"/>
              </w:rPr>
              <w:t>(En caso de maquinaria o equipo)</w:t>
            </w:r>
          </w:p>
        </w:tc>
      </w:tr>
      <w:tr w:rsidR="00706895" w:rsidRPr="005E3E04" w14:paraId="7CFD4AFA" w14:textId="77777777" w:rsidTr="00E46741">
        <w:trPr>
          <w:trHeight w:val="725"/>
        </w:trPr>
        <w:tc>
          <w:tcPr>
            <w:tcW w:w="10364" w:type="dxa"/>
            <w:gridSpan w:val="14"/>
            <w:vAlign w:val="center"/>
          </w:tcPr>
          <w:p w14:paraId="0F7B01B6" w14:textId="77777777" w:rsidR="00706895" w:rsidRPr="005E3E04" w:rsidRDefault="00706895" w:rsidP="00706895">
            <w:pPr>
              <w:rPr>
                <w:rFonts w:ascii="Century Gothic" w:hAnsi="Century Gothic"/>
                <w:sz w:val="20"/>
                <w:szCs w:val="24"/>
              </w:rPr>
            </w:pPr>
            <w:r>
              <w:rPr>
                <w:rFonts w:ascii="Century Gothic" w:hAnsi="Century Gothic"/>
                <w:sz w:val="20"/>
                <w:szCs w:val="24"/>
              </w:rPr>
              <w:t>El proveedor deberá indicar con precisión la marca, modelo y procedencia del objeto ofertado.</w:t>
            </w:r>
          </w:p>
        </w:tc>
      </w:tr>
      <w:tr w:rsidR="00706895" w:rsidRPr="005E3E04" w14:paraId="402E8D6E" w14:textId="77777777" w:rsidTr="001A76EA">
        <w:tc>
          <w:tcPr>
            <w:tcW w:w="10364" w:type="dxa"/>
            <w:gridSpan w:val="14"/>
            <w:shd w:val="clear" w:color="auto" w:fill="E7B3E3"/>
          </w:tcPr>
          <w:p w14:paraId="1C324AF0" w14:textId="636EB653" w:rsidR="00706895" w:rsidRPr="005E3E04" w:rsidRDefault="004E7AFE" w:rsidP="00706895">
            <w:pPr>
              <w:jc w:val="both"/>
              <w:rPr>
                <w:rFonts w:ascii="Century Gothic" w:eastAsia="Times New Roman" w:hAnsi="Century Gothic"/>
                <w:b/>
                <w:bCs/>
                <w:sz w:val="28"/>
                <w:szCs w:val="20"/>
                <w:lang w:eastAsia="es-ES"/>
              </w:rPr>
            </w:pPr>
            <w:r>
              <w:rPr>
                <w:rFonts w:ascii="Century Gothic" w:eastAsia="Times New Roman" w:hAnsi="Century Gothic"/>
                <w:b/>
                <w:bCs/>
                <w:sz w:val="28"/>
                <w:szCs w:val="20"/>
                <w:lang w:eastAsia="es-ES"/>
              </w:rPr>
              <w:t>11. Marca del producto:</w:t>
            </w:r>
          </w:p>
          <w:p w14:paraId="32DCFD03" w14:textId="66AE5E0D" w:rsidR="00706895" w:rsidRPr="005E3E04" w:rsidRDefault="00B57A95" w:rsidP="00B57A95">
            <w:pPr>
              <w:jc w:val="both"/>
              <w:rPr>
                <w:rFonts w:ascii="Century Gothic" w:eastAsia="Times New Roman" w:hAnsi="Century Gothic"/>
                <w:bCs/>
                <w:sz w:val="18"/>
                <w:szCs w:val="20"/>
                <w:lang w:eastAsia="es-ES"/>
              </w:rPr>
            </w:pPr>
            <w:r>
              <w:rPr>
                <w:rFonts w:ascii="Century Gothic" w:eastAsia="Times New Roman" w:hAnsi="Century Gothic"/>
                <w:bCs/>
                <w:sz w:val="18"/>
                <w:szCs w:val="20"/>
                <w:lang w:eastAsia="es-ES"/>
              </w:rPr>
              <w:t xml:space="preserve">No se podrá hacer referencia a marcas de fábrica o de comercio, nombres o tipos comerciales, patentes, derechos de autor, diseños o tipos particulares, ni a determinados orígenes, productores o proveedores. Excepcionalmente, y de manera justificada, se podrá hacer dichas referencias para: la adquisición de repuestos o accesorios; y, en las contrataciones que impliquen el desarrollo o mejora de tecnologías ya existentes en la entidad contratante, como la utilización de patentes o marcas exclusivas o tecnologías que no admitan otras alternativas técnicas, en los casos que sea aplicable, la entidad hará constar en el pliego la expresión "o equivalente" u otra similar. (Reglamento General de la LOSNCP: Art. 77, numeral 2)</w:t>
            </w:r>
          </w:p>
          <w:p w14:paraId="62E32C7C" w14:textId="4A5B1268" w:rsidR="00706895" w:rsidRPr="005E3E04" w:rsidRDefault="00706895" w:rsidP="00706895">
            <w:pPr>
              <w:jc w:val="both"/>
              <w:rPr>
                <w:rFonts w:ascii="Century Gothic" w:eastAsia="Times New Roman" w:hAnsi="Century Gothic"/>
                <w:bCs/>
                <w:sz w:val="14"/>
                <w:szCs w:val="20"/>
                <w:lang w:eastAsia="es-ES"/>
              </w:rPr>
            </w:pPr>
          </w:p>
        </w:tc>
      </w:tr>
      <w:tr w:rsidR="00706895" w:rsidRPr="005E3E04" w14:paraId="4259BFB3" w14:textId="77777777" w:rsidTr="00E46741">
        <w:tc>
          <w:tcPr>
            <w:tcW w:w="10364" w:type="dxa"/>
            <w:gridSpan w:val="14"/>
          </w:tcPr>
          <w:p w14:paraId="54F47C84" w14:textId="62387B3C" w:rsidR="00706895" w:rsidRPr="005E3E04" w:rsidRDefault="002B0923" w:rsidP="00706895">
            <w:pPr>
              <w:rPr>
                <w:rFonts w:ascii="Century Gothic" w:hAnsi="Century Gothic"/>
                <w:sz w:val="24"/>
                <w:szCs w:val="26"/>
              </w:rPr>
            </w:pPr>
            <w:r>
              <w:rPr>
                <w:rFonts w:ascii="Century Gothic" w:hAnsi="Century Gothic"/>
                <w:sz w:val="26"/>
                <w:szCs w:val="26"/>
                <w:highlight w:val="yellow"/>
              </w:rPr>
              <w:t>VERIFICAR APLICABILIDAD O NO)</w:t>
            </w:r>
          </w:p>
        </w:tc>
      </w:tr>
      <w:tr w:rsidR="00706895" w:rsidRPr="005E3E04" w14:paraId="740F84AD" w14:textId="77777777" w:rsidTr="001A76EA">
        <w:tc>
          <w:tcPr>
            <w:tcW w:w="10364" w:type="dxa"/>
            <w:gridSpan w:val="14"/>
            <w:shd w:val="clear" w:color="auto" w:fill="E7B3E3"/>
          </w:tcPr>
          <w:p w14:paraId="7AA055FB" w14:textId="5026A30B" w:rsidR="00706895" w:rsidRPr="005E3E04" w:rsidRDefault="00742D01" w:rsidP="00706895">
            <w:pPr>
              <w:jc w:val="both"/>
              <w:rPr>
                <w:rFonts w:ascii="Century Gothic" w:eastAsia="Times New Roman" w:hAnsi="Century Gothic"/>
                <w:b/>
                <w:bCs/>
                <w:sz w:val="28"/>
                <w:szCs w:val="20"/>
                <w:lang w:eastAsia="es-ES"/>
              </w:rPr>
            </w:pPr>
            <w:r>
              <w:rPr>
                <w:rFonts w:ascii="Century Gothic" w:eastAsia="Times New Roman" w:hAnsi="Century Gothic"/>
                <w:b/>
                <w:bCs/>
                <w:sz w:val="28"/>
                <w:szCs w:val="20"/>
                <w:lang w:eastAsia="es-ES"/>
              </w:rPr>
              <w:t xml:space="preserve">12. Instalación y calibración: </w:t>
            </w:r>
          </w:p>
        </w:tc>
      </w:tr>
      <w:tr w:rsidR="00706895" w:rsidRPr="005E3E04" w14:paraId="0F2DBB8E" w14:textId="77777777" w:rsidTr="00E46741">
        <w:tc>
          <w:tcPr>
            <w:tcW w:w="10364" w:type="dxa"/>
            <w:gridSpan w:val="14"/>
            <w:shd w:val="clear" w:color="auto" w:fill="auto"/>
          </w:tcPr>
          <w:p w14:paraId="1261E2DA" w14:textId="77777777" w:rsidR="00706895" w:rsidRPr="005E3E04" w:rsidRDefault="00706895" w:rsidP="00706895">
            <w:pPr>
              <w:jc w:val="both"/>
              <w:rPr>
                <w:rFonts w:ascii="Century Gothic" w:eastAsia="Times New Roman" w:hAnsi="Century Gothic"/>
                <w:b/>
                <w:bCs/>
                <w:sz w:val="24"/>
                <w:szCs w:val="20"/>
                <w:lang w:eastAsia="es-ES"/>
              </w:rPr>
            </w:pPr>
          </w:p>
          <w:p w14:paraId="50487E5D" w14:textId="77777777" w:rsidR="00706895" w:rsidRPr="005E3E04" w:rsidRDefault="00706895" w:rsidP="00706895">
            <w:pPr>
              <w:rPr>
                <w:rFonts w:ascii="Century Gothic" w:hAnsi="Century Gothic"/>
                <w:sz w:val="24"/>
                <w:szCs w:val="26"/>
              </w:rPr>
            </w:pPr>
            <w:r>
              <w:rPr>
                <w:rFonts w:ascii="Century Gothic" w:hAnsi="Century Gothic"/>
                <w:sz w:val="24"/>
                <w:szCs w:val="26"/>
              </w:rPr>
              <w:t>El proveedor deberá realizar la instalación con personal técnico, mismo que debe de dejar el equipo listo para su utilización.</w:t>
            </w:r>
          </w:p>
          <w:p w14:paraId="0824A655" w14:textId="77777777" w:rsidR="00706895" w:rsidRPr="005E3E04" w:rsidRDefault="00706895" w:rsidP="00706895">
            <w:pPr>
              <w:pStyle w:val="Prrafodelista"/>
              <w:spacing w:line="360" w:lineRule="auto"/>
              <w:ind w:left="360"/>
              <w:jc w:val="both"/>
              <w:rPr>
                <w:rFonts w:ascii="Century Gothic" w:hAnsi="Century Gothic"/>
                <w:b/>
              </w:rPr>
            </w:pPr>
            <w:r>
              <w:rPr>
                <w:rFonts w:ascii="Century Gothic" w:hAnsi="Century Gothic"/>
                <w:b/>
              </w:rPr>
              <w:t>PERSONAL TÉCNICO:</w:t>
            </w:r>
          </w:p>
          <w:tbl>
            <w:tblPr>
              <w:tblW w:w="7440" w:type="dxa"/>
              <w:tblInd w:w="489" w:type="dxa"/>
              <w:tblLayout w:type="fixed"/>
              <w:tblCellMar>
                <w:left w:w="70" w:type="dxa"/>
                <w:right w:w="70" w:type="dxa"/>
              </w:tblCellMar>
              <w:tblLook w:val="04A0" w:firstRow="1" w:lastRow="0" w:firstColumn="1" w:lastColumn="0" w:noHBand="0" w:noVBand="1"/>
            </w:tblPr>
            <w:tblGrid>
              <w:gridCol w:w="3380"/>
              <w:gridCol w:w="1200"/>
              <w:gridCol w:w="1660"/>
              <w:gridCol w:w="1200"/>
            </w:tblGrid>
            <w:tr w:rsidR="00706895" w:rsidRPr="005E3E04" w14:paraId="3230AAF6" w14:textId="77777777" w:rsidTr="00AF6C8A">
              <w:trPr>
                <w:trHeight w:val="120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DB79E" w14:textId="77777777" w:rsidR="00706895" w:rsidRPr="005E3E04" w:rsidRDefault="00706895" w:rsidP="00706895">
                  <w:pPr>
                    <w:jc w:val="center"/>
                    <w:rPr>
                      <w:rFonts w:ascii="Century Gothic" w:eastAsia="Times New Roman" w:hAnsi="Century Gothic" w:cs="Times New Roman"/>
                      <w:b/>
                      <w:bCs/>
                      <w:lang w:eastAsia="es-EC"/>
                    </w:rPr>
                  </w:pPr>
                  <w:r>
                    <w:rPr>
                      <w:rFonts w:ascii="Century Gothic" w:eastAsia="Times New Roman" w:hAnsi="Century Gothic" w:cs="Times New Roman"/>
                      <w:b/>
                      <w:bCs/>
                      <w:lang w:eastAsia="es-EC"/>
                    </w:rPr>
                    <w:lastRenderedPageBreak/>
                    <w:t>FUNCIÓN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649C660" w14:textId="77777777" w:rsidR="00706895" w:rsidRPr="005E3E04" w:rsidRDefault="00706895" w:rsidP="00706895">
                  <w:pPr>
                    <w:jc w:val="center"/>
                    <w:rPr>
                      <w:rFonts w:ascii="Century Gothic" w:eastAsia="Times New Roman" w:hAnsi="Century Gothic" w:cs="Times New Roman"/>
                      <w:b/>
                      <w:bCs/>
                      <w:lang w:eastAsia="es-EC"/>
                    </w:rPr>
                  </w:pPr>
                  <w:r>
                    <w:rPr>
                      <w:rFonts w:ascii="Century Gothic" w:eastAsia="Times New Roman" w:hAnsi="Century Gothic" w:cs="Times New Roman"/>
                      <w:b/>
                      <w:bCs/>
                      <w:lang w:eastAsia="es-EC"/>
                    </w:rPr>
                    <w:t>NIVEL DE ESTUDIO</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574BF72A" w14:textId="77777777" w:rsidR="00706895" w:rsidRPr="005E3E04" w:rsidRDefault="00706895" w:rsidP="00706895">
                  <w:pPr>
                    <w:jc w:val="center"/>
                    <w:rPr>
                      <w:rFonts w:ascii="Century Gothic" w:eastAsia="Times New Roman" w:hAnsi="Century Gothic" w:cs="Times New Roman"/>
                      <w:b/>
                      <w:bCs/>
                      <w:lang w:eastAsia="es-EC"/>
                    </w:rPr>
                  </w:pPr>
                  <w:r>
                    <w:rPr>
                      <w:rFonts w:ascii="Century Gothic" w:eastAsia="Times New Roman" w:hAnsi="Century Gothic" w:cs="Times New Roman"/>
                      <w:b/>
                      <w:bCs/>
                      <w:lang w:eastAsia="es-EC"/>
                    </w:rPr>
                    <w:t>TITULACIÓN ACADÉMICA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855E4A1" w14:textId="77777777" w:rsidR="00706895" w:rsidRPr="005E3E04" w:rsidRDefault="00706895" w:rsidP="00706895">
                  <w:pPr>
                    <w:rPr>
                      <w:rFonts w:ascii="Century Gothic" w:eastAsia="Times New Roman" w:hAnsi="Century Gothic" w:cs="Times New Roman"/>
                      <w:b/>
                      <w:bCs/>
                      <w:lang w:eastAsia="es-EC"/>
                    </w:rPr>
                  </w:pPr>
                  <w:r>
                    <w:rPr>
                      <w:rFonts w:ascii="Century Gothic" w:eastAsia="Times New Roman" w:hAnsi="Century Gothic" w:cs="Times New Roman"/>
                      <w:b/>
                      <w:bCs/>
                      <w:lang w:eastAsia="es-EC"/>
                    </w:rPr>
                    <w:t>CANTIDAD</w:t>
                  </w:r>
                </w:p>
              </w:tc>
            </w:tr>
            <w:tr w:rsidR="00706895" w:rsidRPr="005E3E04" w14:paraId="409D4CEE" w14:textId="77777777" w:rsidTr="00AF6C8A">
              <w:trPr>
                <w:trHeight w:val="2400"/>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101B7B3C" w14:textId="77777777" w:rsidR="00706895" w:rsidRPr="005E3E04" w:rsidRDefault="00706895" w:rsidP="00706895">
                  <w:pPr>
                    <w:jc w:val="both"/>
                    <w:rPr>
                      <w:rFonts w:ascii="Century Gothic" w:eastAsia="Times New Roman" w:hAnsi="Century Gothic" w:cs="Times New Roman"/>
                      <w:lang w:eastAsia="es-EC"/>
                    </w:rPr>
                  </w:pPr>
                  <w:r>
                    <w:rPr>
                      <w:rFonts w:ascii="Century Gothic" w:eastAsia="Times New Roman" w:hAnsi="Century Gothic" w:cs="Times New Roman"/>
                      <w:lang w:eastAsia="es-EC"/>
                    </w:rPr>
                    <w:t>Técnico Instalador, Realizar montaje, instalación, puesta en marcha de los equipos, reparación, mantenimiento preventivo y correctivo. Capacitación de equipos médicos, así como brindar el Soporte técnico de los mismos.</w:t>
                  </w:r>
                </w:p>
              </w:tc>
              <w:tc>
                <w:tcPr>
                  <w:tcW w:w="1200" w:type="dxa"/>
                  <w:tcBorders>
                    <w:top w:val="nil"/>
                    <w:left w:val="nil"/>
                    <w:bottom w:val="single" w:sz="4" w:space="0" w:color="auto"/>
                    <w:right w:val="single" w:sz="4" w:space="0" w:color="auto"/>
                  </w:tcBorders>
                  <w:shd w:val="clear" w:color="auto" w:fill="auto"/>
                  <w:vAlign w:val="center"/>
                  <w:hideMark/>
                </w:tcPr>
                <w:p w14:paraId="09535470" w14:textId="77777777" w:rsidR="00706895" w:rsidRPr="005E3E04" w:rsidRDefault="00706895" w:rsidP="00706895">
                  <w:pPr>
                    <w:jc w:val="center"/>
                    <w:rPr>
                      <w:rFonts w:ascii="Century Gothic" w:eastAsia="Times New Roman" w:hAnsi="Century Gothic" w:cs="Times New Roman"/>
                      <w:lang w:eastAsia="es-EC"/>
                    </w:rPr>
                  </w:pPr>
                  <w:r>
                    <w:rPr>
                      <w:rFonts w:ascii="Century Gothic" w:eastAsia="Times New Roman" w:hAnsi="Century Gothic" w:cs="Times New Roman"/>
                      <w:lang w:eastAsia="es-EC"/>
                    </w:rPr>
                    <w:t>Tercer Nivel Con Titulo</w:t>
                  </w:r>
                </w:p>
              </w:tc>
              <w:tc>
                <w:tcPr>
                  <w:tcW w:w="1660" w:type="dxa"/>
                  <w:tcBorders>
                    <w:top w:val="nil"/>
                    <w:left w:val="nil"/>
                    <w:bottom w:val="single" w:sz="4" w:space="0" w:color="auto"/>
                    <w:right w:val="single" w:sz="4" w:space="0" w:color="auto"/>
                  </w:tcBorders>
                  <w:shd w:val="clear" w:color="auto" w:fill="auto"/>
                  <w:vAlign w:val="center"/>
                  <w:hideMark/>
                </w:tcPr>
                <w:p w14:paraId="5CDB0389" w14:textId="77777777" w:rsidR="00706895" w:rsidRPr="005E3E04" w:rsidRDefault="00706895" w:rsidP="00706895">
                  <w:pPr>
                    <w:jc w:val="center"/>
                    <w:rPr>
                      <w:rFonts w:ascii="Century Gothic" w:eastAsia="Times New Roman" w:hAnsi="Century Gothic" w:cs="Times New Roman"/>
                      <w:lang w:eastAsia="es-EC"/>
                    </w:rPr>
                  </w:pPr>
                  <w:r>
                    <w:rPr>
                      <w:rFonts w:ascii="Century Gothic" w:eastAsia="Times New Roman" w:hAnsi="Century Gothic" w:cs="Times New Roman"/>
                      <w:lang w:eastAsia="es-EC"/>
                    </w:rPr>
                    <w:t>Electrónica, biomédico,</w:t>
                    <w:br/>
                    <w:t>meca trónica y/o Afines</w:t>
                    <w:br/>
                    <w:t>(Experiencia en</w:t>
                    <w:br/>
                    <w:t>Equipamiento médico</w:t>
                    <w:br/>
                    <w:t>comprobable)</w:t>
                  </w:r>
                </w:p>
              </w:tc>
              <w:tc>
                <w:tcPr>
                  <w:tcW w:w="1200" w:type="dxa"/>
                  <w:tcBorders>
                    <w:top w:val="nil"/>
                    <w:left w:val="nil"/>
                    <w:bottom w:val="single" w:sz="4" w:space="0" w:color="auto"/>
                    <w:right w:val="single" w:sz="4" w:space="0" w:color="auto"/>
                  </w:tcBorders>
                  <w:shd w:val="clear" w:color="auto" w:fill="auto"/>
                  <w:vAlign w:val="center"/>
                  <w:hideMark/>
                </w:tcPr>
                <w:p w14:paraId="5923771C" w14:textId="77777777" w:rsidR="00706895" w:rsidRPr="005E3E04" w:rsidRDefault="00706895" w:rsidP="00706895">
                  <w:pPr>
                    <w:jc w:val="center"/>
                    <w:rPr>
                      <w:rFonts w:ascii="Century Gothic" w:eastAsia="Times New Roman" w:hAnsi="Century Gothic" w:cs="Times New Roman"/>
                      <w:lang w:eastAsia="es-EC"/>
                    </w:rPr>
                  </w:pPr>
                  <w:r>
                    <w:rPr>
                      <w:rFonts w:ascii="Century Gothic" w:eastAsia="Times New Roman" w:hAnsi="Century Gothic" w:cs="Times New Roman"/>
                      <w:lang w:eastAsia="es-EC"/>
                    </w:rPr>
                    <w:t>1</w:t>
                  </w:r>
                </w:p>
              </w:tc>
            </w:tr>
          </w:tbl>
          <w:p w14:paraId="6D9D258B" w14:textId="77777777" w:rsidR="00706895" w:rsidRPr="005E3E04" w:rsidRDefault="00706895" w:rsidP="00706895">
            <w:pPr>
              <w:pStyle w:val="Prrafodelista"/>
              <w:spacing w:line="360" w:lineRule="auto"/>
              <w:ind w:left="360"/>
              <w:jc w:val="both"/>
              <w:rPr>
                <w:rFonts w:ascii="Century Gothic" w:hAnsi="Century Gothic"/>
              </w:rPr>
            </w:pPr>
            <w:r>
              <w:rPr>
                <w:rFonts w:ascii="Century Gothic" w:hAnsi="Century Gothic"/>
                <w:b/>
              </w:rPr>
              <w:t>INSTRUMENTO DE VERIFICACIÓN</w:t>
            </w:r>
            <w:r>
              <w:rPr>
                <w:rFonts w:ascii="Century Gothic" w:hAnsi="Century Gothic"/>
              </w:rPr>
              <w:t xml:space="preserve">: </w:t>
            </w:r>
          </w:p>
          <w:p w14:paraId="40B63298" w14:textId="77777777" w:rsidR="00706895" w:rsidRPr="005E3E04" w:rsidRDefault="00706895" w:rsidP="00706895">
            <w:pPr>
              <w:pStyle w:val="Prrafodelista"/>
              <w:spacing w:line="360" w:lineRule="auto"/>
              <w:ind w:left="360"/>
              <w:jc w:val="both"/>
              <w:rPr>
                <w:rFonts w:ascii="Century Gothic" w:hAnsi="Century Gothic"/>
              </w:rPr>
            </w:pPr>
            <w:r>
              <w:rPr>
                <w:rFonts w:ascii="Century Gothic" w:hAnsi="Century Gothic"/>
              </w:rPr>
              <w:t xml:space="preserve"> Hoja de Vida, la Comisión Técnica verificará el nivel de estudio en la página Web de la SENESCYT ó en la página Web del Ministerio de Educación. </w:t>
            </w:r>
          </w:p>
          <w:p w14:paraId="28BFB6AE" w14:textId="77777777" w:rsidR="00706895" w:rsidRPr="005E3E04" w:rsidRDefault="00706895" w:rsidP="00706895">
            <w:pPr>
              <w:pStyle w:val="Prrafodelista"/>
              <w:spacing w:line="360" w:lineRule="auto"/>
              <w:ind w:left="360"/>
              <w:jc w:val="both"/>
              <w:rPr>
                <w:rFonts w:ascii="Century Gothic" w:hAnsi="Century Gothic"/>
                <w:b/>
              </w:rPr>
            </w:pPr>
            <w:r>
              <w:rPr>
                <w:rFonts w:ascii="Century Gothic" w:hAnsi="Century Gothic"/>
              </w:rPr>
              <w:t xml:space="preserve"> En caso de que el título no se encuentre registrado en la plataforma informática de los entes rectores de la educación y educación superior, según corresponda, el oferente deberá presentar el documento que certifique la titulación académica del personal técnico ofertado.</w:t>
            </w:r>
          </w:p>
          <w:p w14:paraId="5DCFF34C" w14:textId="77777777" w:rsidR="00706895" w:rsidRPr="005E3E04" w:rsidRDefault="00706895" w:rsidP="00706895">
            <w:pPr>
              <w:pStyle w:val="Prrafodelista"/>
              <w:spacing w:line="360" w:lineRule="auto"/>
              <w:ind w:left="360"/>
              <w:jc w:val="both"/>
              <w:rPr>
                <w:rFonts w:ascii="Century Gothic" w:hAnsi="Century Gothic"/>
                <w:b/>
              </w:rPr>
            </w:pPr>
            <w:r>
              <w:rPr>
                <w:rFonts w:ascii="Century Gothic" w:hAnsi="Century Gothic"/>
                <w:b/>
              </w:rPr>
              <w:t>EXPERIENCIA MÍNIMA DEL PERSONAL TÉCNICO</w:t>
            </w:r>
          </w:p>
          <w:p w14:paraId="0DB58C65" w14:textId="77777777" w:rsidR="00706895" w:rsidRPr="005E3E04" w:rsidRDefault="00706895" w:rsidP="00706895">
            <w:pPr>
              <w:pStyle w:val="Prrafodelista"/>
              <w:numPr>
                <w:ilvl w:val="0"/>
                <w:numId w:val="8"/>
              </w:numPr>
              <w:spacing w:line="360" w:lineRule="auto"/>
              <w:jc w:val="both"/>
              <w:rPr>
                <w:rFonts w:ascii="Century Gothic" w:hAnsi="Century Gothic"/>
              </w:rPr>
            </w:pPr>
            <w:r>
              <w:rPr>
                <w:rFonts w:ascii="Century Gothic" w:hAnsi="Century Gothic"/>
              </w:rPr>
              <w:t>Instalación, puesta en marcha de los equipos, reparación, mantenimiento preventivo y correctivo tiempo mínimo de 2 años.</w:t>
            </w:r>
          </w:p>
          <w:p w14:paraId="08D7B3BF" w14:textId="77777777" w:rsidR="00706895" w:rsidRPr="005E3E04" w:rsidRDefault="00706895" w:rsidP="00706895">
            <w:pPr>
              <w:pStyle w:val="Prrafodelista"/>
              <w:spacing w:line="360" w:lineRule="auto"/>
              <w:ind w:left="360"/>
              <w:jc w:val="both"/>
              <w:rPr>
                <w:rFonts w:ascii="Century Gothic" w:hAnsi="Century Gothic"/>
              </w:rPr>
            </w:pPr>
            <w:r>
              <w:rPr>
                <w:rFonts w:ascii="Century Gothic" w:hAnsi="Century Gothic"/>
                <w:b/>
              </w:rPr>
              <w:t>INSTRUMENTOS DE VERIFICACIÓN:</w:t>
            </w:r>
          </w:p>
          <w:p w14:paraId="56174A93" w14:textId="77777777" w:rsidR="00706895" w:rsidRPr="005E3E04" w:rsidRDefault="00706895" w:rsidP="00706895">
            <w:pPr>
              <w:pStyle w:val="Prrafodelista"/>
              <w:spacing w:line="360" w:lineRule="auto"/>
              <w:ind w:left="360"/>
              <w:jc w:val="both"/>
              <w:rPr>
                <w:rFonts w:ascii="Century Gothic" w:hAnsi="Century Gothic"/>
              </w:rPr>
            </w:pPr>
            <w:r>
              <w:rPr>
                <w:rFonts w:ascii="Century Gothic" w:hAnsi="Century Gothic"/>
              </w:rPr>
              <w:t xml:space="preserve"> • Certificados laborales en los que se verifique la experiencia requerida para cada profesional.</w:t>
            </w:r>
          </w:p>
          <w:p w14:paraId="5694DF57" w14:textId="77777777" w:rsidR="00706895" w:rsidRPr="005E3E04" w:rsidRDefault="00706895" w:rsidP="00706895">
            <w:pPr>
              <w:pStyle w:val="Prrafodelista"/>
              <w:spacing w:line="360" w:lineRule="auto"/>
              <w:ind w:left="360"/>
              <w:jc w:val="both"/>
              <w:rPr>
                <w:rFonts w:ascii="Century Gothic" w:hAnsi="Century Gothic"/>
              </w:rPr>
            </w:pPr>
            <w:r>
              <w:rPr>
                <w:rFonts w:ascii="Century Gothic" w:hAnsi="Century Gothic"/>
              </w:rPr>
              <w:t xml:space="preserve"> • Los certificados deberán contener: Fecha de emisión, descripción de la experiencia, tiempo o periodo de participación, firma de responsabilidad, números telefónicos de contacto, correo electrónico y dirección. </w:t>
            </w:r>
          </w:p>
          <w:p w14:paraId="2848E2B3" w14:textId="77777777" w:rsidR="00706895" w:rsidRPr="005E3E04" w:rsidRDefault="00706895" w:rsidP="00706895">
            <w:pPr>
              <w:jc w:val="both"/>
              <w:rPr>
                <w:rFonts w:ascii="Century Gothic" w:eastAsia="Times New Roman" w:hAnsi="Century Gothic"/>
                <w:b/>
                <w:bCs/>
                <w:sz w:val="24"/>
                <w:szCs w:val="20"/>
                <w:lang w:eastAsia="es-ES"/>
              </w:rPr>
            </w:pPr>
          </w:p>
        </w:tc>
      </w:tr>
      <w:tr w:rsidR="00706895" w:rsidRPr="005E3E04" w14:paraId="36B121B0" w14:textId="77777777" w:rsidTr="007F5615">
        <w:tc>
          <w:tcPr>
            <w:tcW w:w="10364" w:type="dxa"/>
            <w:gridSpan w:val="14"/>
            <w:shd w:val="clear" w:color="auto" w:fill="E7B3E3"/>
          </w:tcPr>
          <w:p w14:paraId="6880F7D9" w14:textId="29063542" w:rsidR="00706895" w:rsidRPr="005E3E04" w:rsidRDefault="00147C93" w:rsidP="00706895">
            <w:pPr>
              <w:jc w:val="both"/>
              <w:rPr>
                <w:rFonts w:ascii="Century Gothic" w:eastAsia="Times New Roman" w:hAnsi="Century Gothic"/>
                <w:b/>
                <w:bCs/>
                <w:sz w:val="28"/>
                <w:szCs w:val="20"/>
                <w:lang w:eastAsia="es-ES"/>
              </w:rPr>
            </w:pPr>
            <w:r>
              <w:rPr>
                <w:rFonts w:ascii="Century Gothic" w:eastAsia="Times New Roman" w:hAnsi="Century Gothic"/>
                <w:b/>
                <w:bCs/>
                <w:sz w:val="28"/>
                <w:szCs w:val="20"/>
                <w:lang w:eastAsia="es-ES"/>
              </w:rPr>
              <w:lastRenderedPageBreak/>
              <w:t>13. Servicio posventa:</w:t>
            </w:r>
          </w:p>
        </w:tc>
      </w:tr>
      <w:tr w:rsidR="00706895" w:rsidRPr="005E3E04" w14:paraId="1EFE5FBA" w14:textId="77777777" w:rsidTr="00E46741">
        <w:tc>
          <w:tcPr>
            <w:tcW w:w="10364" w:type="dxa"/>
            <w:gridSpan w:val="14"/>
          </w:tcPr>
          <w:p w14:paraId="44663F52" w14:textId="77777777" w:rsidR="00706895" w:rsidRPr="005E3E04" w:rsidRDefault="00706895" w:rsidP="00706895">
            <w:pPr>
              <w:rPr>
                <w:rFonts w:ascii="Century Gothic" w:hAnsi="Century Gothic"/>
                <w:sz w:val="26"/>
                <w:szCs w:val="26"/>
              </w:rPr>
            </w:pPr>
          </w:p>
          <w:tbl>
            <w:tblPr>
              <w:tblW w:w="9204" w:type="dxa"/>
              <w:tblLayout w:type="fixed"/>
              <w:tblCellMar>
                <w:left w:w="70" w:type="dxa"/>
                <w:right w:w="70" w:type="dxa"/>
              </w:tblCellMar>
              <w:tblLook w:val="04A0" w:firstRow="1" w:lastRow="0" w:firstColumn="1" w:lastColumn="0" w:noHBand="0" w:noVBand="1"/>
            </w:tblPr>
            <w:tblGrid>
              <w:gridCol w:w="780"/>
              <w:gridCol w:w="2187"/>
              <w:gridCol w:w="6237"/>
            </w:tblGrid>
            <w:tr w:rsidR="00706895" w:rsidRPr="005E3E04" w14:paraId="6FD1003A" w14:textId="77777777" w:rsidTr="00AF6C8A">
              <w:trPr>
                <w:trHeight w:val="3945"/>
              </w:trPr>
              <w:tc>
                <w:tcPr>
                  <w:tcW w:w="7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97F339" w14:textId="77777777" w:rsidR="00706895" w:rsidRPr="005E3E04" w:rsidRDefault="00706895" w:rsidP="00706895">
                  <w:pPr>
                    <w:jc w:val="center"/>
                    <w:rPr>
                      <w:rFonts w:ascii="Century Gothic" w:eastAsia="Times New Roman" w:hAnsi="Century Gothic" w:cs="Times New Roman"/>
                      <w:lang w:eastAsia="es-EC"/>
                    </w:rPr>
                  </w:pPr>
                  <w:r>
                    <w:rPr>
                      <w:rFonts w:ascii="Century Gothic" w:eastAsia="Times New Roman" w:hAnsi="Century Gothic" w:cs="Times New Roman"/>
                      <w:lang w:eastAsia="es-EC"/>
                    </w:rPr>
                    <w:lastRenderedPageBreak/>
                    <w:t>1</w:t>
                  </w:r>
                </w:p>
              </w:tc>
              <w:tc>
                <w:tcPr>
                  <w:tcW w:w="2187" w:type="dxa"/>
                  <w:tcBorders>
                    <w:top w:val="single" w:sz="8" w:space="0" w:color="auto"/>
                    <w:left w:val="nil"/>
                    <w:bottom w:val="single" w:sz="8" w:space="0" w:color="auto"/>
                    <w:right w:val="single" w:sz="8" w:space="0" w:color="auto"/>
                  </w:tcBorders>
                  <w:shd w:val="clear" w:color="auto" w:fill="auto"/>
                  <w:vAlign w:val="center"/>
                  <w:hideMark/>
                </w:tcPr>
                <w:p w14:paraId="5D5AA1A7" w14:textId="77777777" w:rsidR="00706895" w:rsidRPr="005E3E04" w:rsidRDefault="00706895" w:rsidP="00706895">
                  <w:pPr>
                    <w:jc w:val="center"/>
                    <w:rPr>
                      <w:rFonts w:ascii="Century Gothic" w:eastAsia="Times New Roman" w:hAnsi="Century Gothic" w:cs="Times New Roman"/>
                      <w:b/>
                      <w:bCs/>
                      <w:lang w:eastAsia="es-EC"/>
                    </w:rPr>
                  </w:pPr>
                  <w:r>
                    <w:rPr>
                      <w:rFonts w:ascii="Century Gothic" w:eastAsia="Times New Roman" w:hAnsi="Century Gothic" w:cs="Times New Roman"/>
                      <w:b/>
                      <w:bCs/>
                      <w:lang w:eastAsia="es-EC"/>
                    </w:rPr>
                    <w:t>PLAN CRONOGRAMA DE MANTENIMIENTOS PREVENTIVOS</w:t>
                  </w:r>
                </w:p>
              </w:tc>
              <w:tc>
                <w:tcPr>
                  <w:tcW w:w="6237" w:type="dxa"/>
                  <w:tcBorders>
                    <w:top w:val="single" w:sz="8" w:space="0" w:color="auto"/>
                    <w:left w:val="nil"/>
                    <w:bottom w:val="single" w:sz="8" w:space="0" w:color="auto"/>
                    <w:right w:val="single" w:sz="8" w:space="0" w:color="auto"/>
                  </w:tcBorders>
                  <w:shd w:val="clear" w:color="auto" w:fill="auto"/>
                  <w:vAlign w:val="center"/>
                  <w:hideMark/>
                </w:tcPr>
                <w:p w14:paraId="78F87C99" w14:textId="77777777" w:rsidR="00706895" w:rsidRPr="005E3E04" w:rsidRDefault="00706895" w:rsidP="00706895">
                  <w:pPr>
                    <w:jc w:val="both"/>
                    <w:rPr>
                      <w:rFonts w:ascii="Century Gothic" w:eastAsia="Times New Roman" w:hAnsi="Century Gothic" w:cs="Times New Roman"/>
                      <w:lang w:eastAsia="es-EC"/>
                    </w:rPr>
                  </w:pPr>
                  <w:r>
                    <w:rPr>
                      <w:rFonts w:ascii="Century Gothic" w:eastAsia="Times New Roman" w:hAnsi="Century Gothic" w:cs="Times New Roman"/>
                      <w:lang w:eastAsia="es-EC"/>
                    </w:rPr>
                    <w:t>Se presentará en la oferta un cronograma tentativo para los mantenimientos preventivos durante los dos primeros años de vida útil del equipo dentro de la garantía técnica, y un cronograma para los mantenimientos preventivos durante la garantía extendida de los equipos, esto según normas del fabricante. En dicho plan debe constar al menos las rutinas, partes y repuestos mínimos, recomendaciones de fábrica, cronograma tentativo, etc.; además del listado de consumibles / insumos / piezas y/o partes que no se incluyan en el mantenimiento preventivo, y su respectivo costo</w:t>
                  </w:r>
                </w:p>
              </w:tc>
            </w:tr>
          </w:tbl>
          <w:p w14:paraId="40029AA5" w14:textId="77777777" w:rsidR="00706895" w:rsidRPr="005E3E04" w:rsidRDefault="00706895" w:rsidP="00706895">
            <w:pPr>
              <w:rPr>
                <w:rFonts w:ascii="Century Gothic" w:hAnsi="Century Gothic"/>
                <w:sz w:val="26"/>
                <w:szCs w:val="26"/>
              </w:rPr>
            </w:pPr>
          </w:p>
          <w:p w14:paraId="3EF3833C" w14:textId="77777777" w:rsidR="00706895" w:rsidRPr="005E3E04" w:rsidRDefault="00706895" w:rsidP="00706895">
            <w:pPr>
              <w:rPr>
                <w:rFonts w:ascii="Century Gothic" w:hAnsi="Century Gothic"/>
                <w:sz w:val="26"/>
                <w:szCs w:val="26"/>
              </w:rPr>
            </w:pPr>
          </w:p>
        </w:tc>
      </w:tr>
      <w:tr w:rsidR="00706895" w:rsidRPr="005E3E04" w14:paraId="1FEDCEC1" w14:textId="77777777" w:rsidTr="007F5615">
        <w:tc>
          <w:tcPr>
            <w:tcW w:w="10364" w:type="dxa"/>
            <w:gridSpan w:val="14"/>
            <w:shd w:val="clear" w:color="auto" w:fill="E7B3E3"/>
          </w:tcPr>
          <w:p w14:paraId="2CB15727" w14:textId="27DC70D7" w:rsidR="00706895" w:rsidRPr="005E3E04" w:rsidRDefault="00706895" w:rsidP="00706895">
            <w:pPr>
              <w:jc w:val="both"/>
              <w:rPr>
                <w:rFonts w:ascii="Century Gothic" w:eastAsia="Times New Roman" w:hAnsi="Century Gothic"/>
                <w:b/>
                <w:bCs/>
                <w:sz w:val="32"/>
                <w:szCs w:val="20"/>
                <w:lang w:eastAsia="es-ES"/>
              </w:rPr>
            </w:pPr>
            <w:r>
              <w:rPr>
                <w:rFonts w:ascii="Century Gothic" w:eastAsia="Times New Roman" w:hAnsi="Century Gothic"/>
                <w:b/>
                <w:bCs/>
                <w:sz w:val="28"/>
                <w:szCs w:val="20"/>
                <w:lang w:eastAsia="es-ES"/>
              </w:rPr>
              <w:lastRenderedPageBreak/>
              <w:t>14. Vigencia tecnológica</w:t>
            </w:r>
          </w:p>
          <w:p w14:paraId="2A692CF0" w14:textId="6E27EAA5" w:rsidR="00706895" w:rsidRPr="005E3E04" w:rsidRDefault="00706895" w:rsidP="00706895">
            <w:pPr>
              <w:jc w:val="both"/>
              <w:rPr>
                <w:rFonts w:ascii="Century Gothic" w:eastAsia="Times New Roman" w:hAnsi="Century Gothic"/>
                <w:b/>
                <w:bCs/>
                <w:sz w:val="24"/>
                <w:szCs w:val="20"/>
                <w:lang w:eastAsia="es-ES"/>
              </w:rPr>
            </w:pPr>
            <w:r>
              <w:rPr>
                <w:rFonts w:ascii="Century Gothic" w:eastAsia="Times New Roman" w:hAnsi="Century Gothic"/>
                <w:bCs/>
                <w:sz w:val="18"/>
                <w:szCs w:val="20"/>
                <w:lang w:eastAsia="es-ES"/>
              </w:rPr>
              <w:t xml:space="preserve">Conforme el Art. 69 RLOSNCP</w:t>
            </w:r>
          </w:p>
        </w:tc>
      </w:tr>
      <w:tr w:rsidR="00706895" w:rsidRPr="005E3E04" w14:paraId="3039DAAB" w14:textId="77777777" w:rsidTr="00E46741">
        <w:tc>
          <w:tcPr>
            <w:tcW w:w="10364" w:type="dxa"/>
            <w:gridSpan w:val="14"/>
          </w:tcPr>
          <w:p w14:paraId="0121743F" w14:textId="77777777" w:rsidR="00706895" w:rsidRPr="005E3E04" w:rsidRDefault="00706895" w:rsidP="00706895">
            <w:pPr>
              <w:rPr>
                <w:rFonts w:ascii="Century Gothic" w:hAnsi="Century Gothic"/>
                <w:sz w:val="26"/>
                <w:szCs w:val="26"/>
              </w:rPr>
            </w:pPr>
          </w:p>
          <w:p w14:paraId="45783945" w14:textId="6B967AEF" w:rsidR="00706895" w:rsidRPr="006F3844" w:rsidRDefault="00B357A2" w:rsidP="006F3844">
            <w:pPr>
              <w:spacing w:line="360" w:lineRule="auto"/>
              <w:jc w:val="both"/>
              <w:rPr>
                <w:rFonts w:ascii="Century Gothic" w:hAnsi="Century Gothic"/>
                <w:sz w:val="26"/>
                <w:szCs w:val="26"/>
              </w:rPr>
            </w:pPr>
            <w:r>
              <w:rPr>
                <w:rFonts w:ascii="Century Gothic" w:hAnsi="Century Gothic"/>
                <w:b/>
                <w:highlight w:val="yellow"/>
              </w:rPr>
              <w:t>VERIFICAR APLICACION</w:t>
            </w:r>
          </w:p>
        </w:tc>
      </w:tr>
      <w:tr w:rsidR="00706895" w:rsidRPr="005E3E04" w14:paraId="59DB27C1" w14:textId="77777777" w:rsidTr="007F5615">
        <w:tc>
          <w:tcPr>
            <w:tcW w:w="10364" w:type="dxa"/>
            <w:gridSpan w:val="14"/>
            <w:shd w:val="clear" w:color="auto" w:fill="E7B3E3"/>
          </w:tcPr>
          <w:p w14:paraId="36869A5A" w14:textId="45E5B212" w:rsidR="00706895" w:rsidRPr="005E3E04" w:rsidRDefault="00706895" w:rsidP="00706895">
            <w:pPr>
              <w:jc w:val="both"/>
              <w:rPr>
                <w:rFonts w:ascii="Century Gothic" w:hAnsi="Century Gothic" w:cs="Arial"/>
                <w:sz w:val="28"/>
              </w:rPr>
            </w:pPr>
            <w:r>
              <w:rPr>
                <w:rFonts w:ascii="Century Gothic" w:eastAsia="Times New Roman" w:hAnsi="Century Gothic"/>
                <w:b/>
                <w:bCs/>
                <w:sz w:val="28"/>
                <w:szCs w:val="20"/>
                <w:lang w:eastAsia="es-ES"/>
              </w:rPr>
              <w:t>15.- PLAZO DE EJECUCIÓN:</w:t>
            </w:r>
            <w:r>
              <w:rPr>
                <w:rFonts w:ascii="Century Gothic" w:hAnsi="Century Gothic" w:cs="Arial"/>
                <w:sz w:val="24"/>
              </w:rPr>
              <w:t xml:space="preserve"> </w:t>
            </w:r>
          </w:p>
          <w:p w14:paraId="64DC4C6E" w14:textId="77777777" w:rsidR="00706895" w:rsidRPr="005E3E04" w:rsidRDefault="00706895" w:rsidP="00706895">
            <w:pPr>
              <w:jc w:val="both"/>
              <w:rPr>
                <w:rFonts w:ascii="Century Gothic" w:eastAsia="Times New Roman" w:hAnsi="Century Gothic"/>
                <w:bCs/>
                <w:sz w:val="18"/>
                <w:szCs w:val="20"/>
                <w:lang w:eastAsia="es-ES"/>
              </w:rPr>
            </w:pPr>
            <w:r>
              <w:rPr>
                <w:rFonts w:ascii="Century Gothic" w:eastAsia="Times New Roman" w:hAnsi="Century Gothic"/>
                <w:bCs/>
                <w:sz w:val="18"/>
                <w:szCs w:val="20"/>
                <w:lang w:eastAsia="es-ES"/>
              </w:rPr>
              <w:t xml:space="preserve">(Recuerde que la unidad de medida del tiempo será en días calendario o plazo) </w:t>
            </w:r>
          </w:p>
          <w:p w14:paraId="726CFAB7" w14:textId="06B62ACD" w:rsidR="00706895" w:rsidRPr="005E3E04" w:rsidRDefault="00706895" w:rsidP="00706895">
            <w:pPr>
              <w:jc w:val="both"/>
              <w:rPr>
                <w:rFonts w:ascii="Century Gothic" w:eastAsia="Times New Roman" w:hAnsi="Century Gothic"/>
                <w:bCs/>
                <w:sz w:val="16"/>
                <w:szCs w:val="20"/>
                <w:lang w:eastAsia="es-ES"/>
              </w:rPr>
            </w:pPr>
            <w:r>
              <w:rPr>
                <w:rFonts w:ascii="Century Gothic" w:eastAsia="Times New Roman" w:hAnsi="Century Gothic"/>
                <w:bCs/>
                <w:sz w:val="18"/>
                <w:szCs w:val="20"/>
                <w:lang w:eastAsia="es-ES"/>
              </w:rPr>
              <w:t xml:space="preserve">Considerar las reglas de inicios de plazos contractuales contempladas en el Art. 355 numeral 1 del Reglamento General de la LOSNCP.</w:t>
            </w:r>
          </w:p>
        </w:tc>
      </w:tr>
      <w:tr w:rsidR="00706895" w:rsidRPr="005E3E04" w14:paraId="5EF5C5DC" w14:textId="77777777" w:rsidTr="00E46741">
        <w:trPr>
          <w:trHeight w:val="602"/>
        </w:trPr>
        <w:tc>
          <w:tcPr>
            <w:tcW w:w="10364" w:type="dxa"/>
            <w:gridSpan w:val="14"/>
          </w:tcPr>
          <w:p w14:paraId="4790F8E5" w14:textId="77777777" w:rsidR="00706895" w:rsidRPr="005E3E04" w:rsidRDefault="00706895" w:rsidP="00706895">
            <w:pPr>
              <w:rPr>
                <w:rFonts w:ascii="Century Gothic" w:hAnsi="Century Gothic"/>
                <w:szCs w:val="26"/>
              </w:rPr>
            </w:pPr>
          </w:p>
          <w:p w14:paraId="1FA9449B" w14:textId="77777777" w:rsidR="00706895" w:rsidRPr="005E3E04" w:rsidRDefault="00706895" w:rsidP="00706895">
            <w:pPr>
              <w:rPr>
                <w:rFonts w:ascii="Century Gothic" w:hAnsi="Century Gothic"/>
                <w:szCs w:val="26"/>
              </w:rPr>
            </w:pPr>
            <w:r>
              <w:rPr>
                <w:rFonts w:ascii="Century Gothic" w:hAnsi="Century Gothic"/>
                <w:szCs w:val="26"/>
              </w:rPr>
              <w:t>90 días</w:t>
            </w:r>
          </w:p>
          <w:p w14:paraId="3BB9B8DD" w14:textId="77777777" w:rsidR="00706895" w:rsidRPr="005E3E04" w:rsidRDefault="00706895" w:rsidP="00706895">
            <w:pPr>
              <w:rPr>
                <w:rFonts w:ascii="Century Gothic" w:hAnsi="Century Gothic"/>
                <w:sz w:val="24"/>
                <w:szCs w:val="26"/>
              </w:rPr>
            </w:pPr>
          </w:p>
        </w:tc>
      </w:tr>
      <w:tr w:rsidR="00706895" w:rsidRPr="005E3E04" w14:paraId="021C6073" w14:textId="77777777" w:rsidTr="007F5615">
        <w:trPr>
          <w:trHeight w:val="453"/>
        </w:trPr>
        <w:tc>
          <w:tcPr>
            <w:tcW w:w="3941" w:type="dxa"/>
            <w:gridSpan w:val="3"/>
            <w:shd w:val="clear" w:color="auto" w:fill="E7B3E3"/>
            <w:vAlign w:val="center"/>
          </w:tcPr>
          <w:p w14:paraId="15B45F04" w14:textId="7FC25622" w:rsidR="00706895" w:rsidRPr="005E3E04" w:rsidRDefault="00706895" w:rsidP="00706895">
            <w:pPr>
              <w:rPr>
                <w:rFonts w:ascii="Century Gothic" w:eastAsia="Times New Roman" w:hAnsi="Century Gothic"/>
                <w:b/>
                <w:bCs/>
                <w:sz w:val="23"/>
                <w:szCs w:val="23"/>
                <w:lang w:eastAsia="es-ES"/>
              </w:rPr>
            </w:pPr>
            <w:r>
              <w:rPr>
                <w:rFonts w:ascii="Century Gothic" w:eastAsia="Times New Roman" w:hAnsi="Century Gothic"/>
                <w:b/>
                <w:bCs/>
                <w:sz w:val="23"/>
                <w:szCs w:val="23"/>
                <w:lang w:eastAsia="es-ES"/>
              </w:rPr>
              <w:t xml:space="preserve">15.1. Contado a partir de: </w:t>
            </w:r>
          </w:p>
        </w:tc>
        <w:tc>
          <w:tcPr>
            <w:tcW w:w="6423" w:type="dxa"/>
            <w:gridSpan w:val="11"/>
            <w:vAlign w:val="center"/>
          </w:tcPr>
          <w:p w14:paraId="43ADEAFA" w14:textId="32D5235E" w:rsidR="00706895" w:rsidRPr="005E3E04" w:rsidRDefault="00A76E7B" w:rsidP="00706895">
            <w:pPr>
              <w:rPr>
                <w:rFonts w:ascii="Century Gothic" w:hAnsi="Century Gothic" w:cs="Arial"/>
                <w:bCs/>
                <w:sz w:val="24"/>
                <w:szCs w:val="28"/>
              </w:rPr>
            </w:pPr>
            <w:r>
              <w:rPr>
                <w:rFonts w:ascii="Century Gothic" w:hAnsi="Century Gothic" w:cs="Arial"/>
                <w:bCs/>
                <w:szCs w:val="28"/>
              </w:rPr>
              <w:t>Inicia a partir del día siguiente de la suscripción del respectivo contrato.</w:t>
            </w:r>
          </w:p>
        </w:tc>
      </w:tr>
      <w:tr w:rsidR="00706895" w:rsidRPr="005E3E04" w14:paraId="6D739D36" w14:textId="77777777" w:rsidTr="007F5615">
        <w:trPr>
          <w:trHeight w:val="417"/>
        </w:trPr>
        <w:tc>
          <w:tcPr>
            <w:tcW w:w="3941" w:type="dxa"/>
            <w:gridSpan w:val="3"/>
            <w:shd w:val="clear" w:color="auto" w:fill="E7B3E3"/>
            <w:vAlign w:val="center"/>
          </w:tcPr>
          <w:p w14:paraId="15ACD746" w14:textId="14DF45BF" w:rsidR="00706895" w:rsidRPr="005E3E04" w:rsidRDefault="00706895" w:rsidP="00706895">
            <w:pPr>
              <w:rPr>
                <w:rFonts w:ascii="Century Gothic" w:eastAsia="Times New Roman" w:hAnsi="Century Gothic"/>
                <w:b/>
                <w:bCs/>
                <w:sz w:val="23"/>
                <w:szCs w:val="23"/>
                <w:lang w:eastAsia="es-ES"/>
              </w:rPr>
            </w:pPr>
            <w:r>
              <w:rPr>
                <w:rFonts w:ascii="Century Gothic" w:eastAsia="Times New Roman" w:hAnsi="Century Gothic"/>
                <w:b/>
                <w:bCs/>
                <w:sz w:val="23"/>
                <w:szCs w:val="23"/>
                <w:lang w:eastAsia="es-ES"/>
              </w:rPr>
              <w:t>15.2. Justificación:</w:t>
            </w:r>
          </w:p>
        </w:tc>
        <w:tc>
          <w:tcPr>
            <w:tcW w:w="6423" w:type="dxa"/>
            <w:gridSpan w:val="11"/>
          </w:tcPr>
          <w:p w14:paraId="22CB5474" w14:textId="77777777" w:rsidR="00706895" w:rsidRPr="005E3E04" w:rsidRDefault="00706895" w:rsidP="00706895">
            <w:pPr>
              <w:jc w:val="both"/>
              <w:rPr>
                <w:rFonts w:ascii="Century Gothic" w:hAnsi="Century Gothic" w:cs="Arial"/>
                <w:bCs/>
                <w:sz w:val="24"/>
                <w:szCs w:val="28"/>
              </w:rPr>
            </w:pPr>
            <w:r>
              <w:rPr>
                <w:rFonts w:ascii="Century Gothic" w:hAnsi="Century Gothic" w:cs="Arial"/>
                <w:bCs/>
                <w:szCs w:val="28"/>
              </w:rPr>
              <w:t>Se considera un plazo prudente para que el proveedor pueda cumplir con la entrega del objeto de contratación, este plazo se obtuvo seleccionando el tiempo máximo de las proformas obtenidas del estudio de mercado</w:t>
            </w:r>
          </w:p>
        </w:tc>
      </w:tr>
      <w:tr w:rsidR="00706895" w:rsidRPr="005E3E04" w14:paraId="7E17AAD4" w14:textId="77777777" w:rsidTr="007F5615">
        <w:trPr>
          <w:trHeight w:val="275"/>
        </w:trPr>
        <w:tc>
          <w:tcPr>
            <w:tcW w:w="10364" w:type="dxa"/>
            <w:gridSpan w:val="14"/>
            <w:shd w:val="clear" w:color="auto" w:fill="E7B3E3"/>
          </w:tcPr>
          <w:p w14:paraId="07630DDE" w14:textId="52D3E1D7" w:rsidR="00706895" w:rsidRPr="005E3E04" w:rsidRDefault="00706895" w:rsidP="00706895">
            <w:pPr>
              <w:jc w:val="both"/>
              <w:rPr>
                <w:rFonts w:ascii="Century Gothic" w:hAnsi="Century Gothic" w:cs="Arial"/>
                <w:b/>
                <w:sz w:val="24"/>
                <w:szCs w:val="28"/>
              </w:rPr>
            </w:pPr>
            <w:r>
              <w:rPr>
                <w:rFonts w:ascii="Century Gothic" w:eastAsia="Times New Roman" w:hAnsi="Century Gothic"/>
                <w:b/>
                <w:bCs/>
                <w:sz w:val="24"/>
                <w:szCs w:val="20"/>
                <w:lang w:eastAsia="es-ES"/>
              </w:rPr>
              <w:t xml:space="preserve">15.2. </w:t>
            </w:r>
            <w:r>
              <w:rPr>
                <w:rFonts w:ascii="Century Gothic" w:eastAsia="Times New Roman" w:hAnsi="Century Gothic"/>
                <w:b/>
                <w:bCs/>
                <w:sz w:val="24"/>
                <w:szCs w:val="20"/>
                <w:highlight w:val="yellow"/>
                <w:lang w:eastAsia="es-ES"/>
              </w:rPr>
              <w:t>Calendario de entregas</w:t>
            </w:r>
            <w:r>
              <w:rPr>
                <w:rFonts w:ascii="Century Gothic" w:eastAsia="Times New Roman" w:hAnsi="Century Gothic"/>
                <w:b/>
                <w:bCs/>
                <w:sz w:val="24"/>
                <w:szCs w:val="20"/>
                <w:lang w:eastAsia="es-ES"/>
              </w:rPr>
              <w:t xml:space="preserve">: </w:t>
            </w:r>
            <w:r>
              <w:rPr>
                <w:rFonts w:ascii="Century Gothic" w:eastAsia="Times New Roman" w:hAnsi="Century Gothic"/>
                <w:bCs/>
                <w:sz w:val="18"/>
                <w:szCs w:val="20"/>
                <w:lang w:eastAsia="es-ES"/>
              </w:rPr>
              <w:t xml:space="preserve">aplica exclusivamente si el objeto de contratación es divisible, por consiguiente se establecen el siguiente cronograma de entregas: </w:t>
            </w:r>
            <w:r>
              <w:rPr>
                <w:rFonts w:ascii="Century Gothic" w:eastAsia="Times New Roman" w:hAnsi="Century Gothic"/>
                <w:bCs/>
                <w:sz w:val="18"/>
                <w:szCs w:val="20"/>
                <w:highlight w:val="yellow"/>
                <w:lang w:eastAsia="es-ES"/>
              </w:rPr>
              <w:t>(SI FUERE APLICABLE)</w:t>
            </w:r>
          </w:p>
        </w:tc>
      </w:tr>
      <w:tr w:rsidR="00706895" w:rsidRPr="005E3E04" w14:paraId="7DB8D28D" w14:textId="77777777" w:rsidTr="007F5615">
        <w:trPr>
          <w:trHeight w:val="275"/>
        </w:trPr>
        <w:tc>
          <w:tcPr>
            <w:tcW w:w="3941" w:type="dxa"/>
            <w:gridSpan w:val="3"/>
            <w:shd w:val="clear" w:color="auto" w:fill="E7B3E3"/>
          </w:tcPr>
          <w:p w14:paraId="6D017528" w14:textId="77777777" w:rsidR="00706895" w:rsidRPr="002D1BCE" w:rsidRDefault="00706895" w:rsidP="00706895">
            <w:pPr>
              <w:jc w:val="center"/>
              <w:rPr>
                <w:rFonts w:ascii="Century Gothic" w:eastAsia="Times New Roman" w:hAnsi="Century Gothic"/>
                <w:b/>
                <w:bCs/>
                <w:sz w:val="24"/>
                <w:szCs w:val="20"/>
                <w:highlight w:val="yellow"/>
                <w:lang w:eastAsia="es-ES"/>
              </w:rPr>
            </w:pPr>
            <w:r>
              <w:rPr>
                <w:rFonts w:ascii="Century Gothic" w:eastAsia="Times New Roman" w:hAnsi="Century Gothic"/>
                <w:b/>
                <w:bCs/>
                <w:sz w:val="24"/>
                <w:szCs w:val="20"/>
                <w:highlight w:val="yellow"/>
                <w:lang w:eastAsia="es-ES"/>
              </w:rPr>
              <w:t>No. de producto</w:t>
            </w:r>
          </w:p>
        </w:tc>
        <w:tc>
          <w:tcPr>
            <w:tcW w:w="3580" w:type="dxa"/>
            <w:gridSpan w:val="6"/>
            <w:shd w:val="clear" w:color="auto" w:fill="E7B3E3"/>
          </w:tcPr>
          <w:p w14:paraId="6BF88055" w14:textId="77777777" w:rsidR="00706895" w:rsidRPr="002D1BCE" w:rsidRDefault="00706895" w:rsidP="00706895">
            <w:pPr>
              <w:jc w:val="center"/>
              <w:rPr>
                <w:rFonts w:ascii="Century Gothic" w:eastAsia="Times New Roman" w:hAnsi="Century Gothic"/>
                <w:b/>
                <w:bCs/>
                <w:sz w:val="24"/>
                <w:szCs w:val="20"/>
                <w:highlight w:val="yellow"/>
                <w:lang w:eastAsia="es-ES"/>
              </w:rPr>
            </w:pPr>
            <w:r>
              <w:rPr>
                <w:rFonts w:ascii="Century Gothic" w:eastAsia="Times New Roman" w:hAnsi="Century Gothic"/>
                <w:b/>
                <w:bCs/>
                <w:sz w:val="24"/>
                <w:szCs w:val="20"/>
                <w:highlight w:val="yellow"/>
                <w:lang w:eastAsia="es-ES"/>
              </w:rPr>
              <w:t>Detalle de producto</w:t>
            </w:r>
          </w:p>
        </w:tc>
        <w:tc>
          <w:tcPr>
            <w:tcW w:w="2843" w:type="dxa"/>
            <w:gridSpan w:val="5"/>
            <w:shd w:val="clear" w:color="auto" w:fill="E7B3E3"/>
          </w:tcPr>
          <w:p w14:paraId="37602003" w14:textId="77777777" w:rsidR="00706895" w:rsidRPr="002D1BCE" w:rsidRDefault="00706895" w:rsidP="00706895">
            <w:pPr>
              <w:jc w:val="center"/>
              <w:rPr>
                <w:rFonts w:ascii="Century Gothic" w:eastAsia="Times New Roman" w:hAnsi="Century Gothic"/>
                <w:b/>
                <w:bCs/>
                <w:sz w:val="24"/>
                <w:szCs w:val="20"/>
                <w:highlight w:val="yellow"/>
                <w:lang w:eastAsia="es-ES"/>
              </w:rPr>
            </w:pPr>
            <w:r>
              <w:rPr>
                <w:rFonts w:ascii="Century Gothic" w:eastAsia="Times New Roman" w:hAnsi="Century Gothic"/>
                <w:b/>
                <w:bCs/>
                <w:sz w:val="24"/>
                <w:szCs w:val="20"/>
                <w:highlight w:val="yellow"/>
                <w:lang w:eastAsia="es-ES"/>
              </w:rPr>
              <w:t>Fecha máxima de entrega</w:t>
            </w:r>
          </w:p>
        </w:tc>
      </w:tr>
      <w:tr w:rsidR="00706895" w:rsidRPr="005E3E04" w14:paraId="4FC630E6" w14:textId="77777777" w:rsidTr="007F5615">
        <w:trPr>
          <w:trHeight w:val="275"/>
        </w:trPr>
        <w:tc>
          <w:tcPr>
            <w:tcW w:w="3941" w:type="dxa"/>
            <w:gridSpan w:val="3"/>
            <w:shd w:val="clear" w:color="auto" w:fill="E7B3E3"/>
          </w:tcPr>
          <w:p w14:paraId="367265A8" w14:textId="77777777" w:rsidR="00706895" w:rsidRPr="002D1BCE" w:rsidRDefault="00706895" w:rsidP="00706895">
            <w:pPr>
              <w:rPr>
                <w:rFonts w:ascii="Century Gothic" w:eastAsia="Times New Roman" w:hAnsi="Century Gothic"/>
                <w:b/>
                <w:bCs/>
                <w:sz w:val="24"/>
                <w:szCs w:val="20"/>
                <w:highlight w:val="yellow"/>
                <w:lang w:eastAsia="es-ES"/>
              </w:rPr>
            </w:pPr>
            <w:r>
              <w:rPr>
                <w:rFonts w:ascii="Century Gothic" w:eastAsia="Times New Roman" w:hAnsi="Century Gothic"/>
                <w:b/>
                <w:bCs/>
                <w:sz w:val="24"/>
                <w:szCs w:val="20"/>
                <w:highlight w:val="yellow"/>
                <w:lang w:eastAsia="es-ES"/>
              </w:rPr>
              <w:t>Producto 1:</w:t>
            </w:r>
          </w:p>
        </w:tc>
        <w:tc>
          <w:tcPr>
            <w:tcW w:w="3580" w:type="dxa"/>
            <w:gridSpan w:val="6"/>
            <w:shd w:val="clear" w:color="auto" w:fill="auto"/>
            <w:vAlign w:val="center"/>
          </w:tcPr>
          <w:p w14:paraId="5DB2B060" w14:textId="77777777" w:rsidR="00706895" w:rsidRPr="002D1BCE" w:rsidRDefault="00706895" w:rsidP="00706895">
            <w:pPr>
              <w:rPr>
                <w:rFonts w:ascii="Century Gothic" w:eastAsia="Times New Roman" w:hAnsi="Century Gothic"/>
                <w:sz w:val="24"/>
                <w:szCs w:val="20"/>
                <w:highlight w:val="yellow"/>
                <w:lang w:eastAsia="es-ES"/>
              </w:rPr>
            </w:pPr>
            <w:r>
              <w:rPr>
                <w:rFonts w:ascii="Century Gothic" w:eastAsia="Times New Roman" w:hAnsi="Century Gothic"/>
                <w:sz w:val="24"/>
                <w:szCs w:val="20"/>
                <w:highlight w:val="yellow"/>
                <w:lang w:eastAsia="es-ES"/>
              </w:rPr>
              <w:t>Entrega única</w:t>
            </w:r>
          </w:p>
        </w:tc>
        <w:tc>
          <w:tcPr>
            <w:tcW w:w="2843" w:type="dxa"/>
            <w:gridSpan w:val="5"/>
            <w:shd w:val="clear" w:color="auto" w:fill="auto"/>
            <w:vAlign w:val="center"/>
          </w:tcPr>
          <w:p w14:paraId="2B25449E" w14:textId="77777777" w:rsidR="00706895" w:rsidRPr="002D1BCE" w:rsidRDefault="00706895" w:rsidP="00706895">
            <w:pPr>
              <w:rPr>
                <w:rFonts w:ascii="Century Gothic" w:eastAsia="Times New Roman" w:hAnsi="Century Gothic"/>
                <w:sz w:val="24"/>
                <w:szCs w:val="20"/>
                <w:highlight w:val="yellow"/>
                <w:lang w:eastAsia="es-ES"/>
              </w:rPr>
            </w:pPr>
            <w:r>
              <w:rPr>
                <w:rFonts w:ascii="Century Gothic" w:eastAsia="Times New Roman" w:hAnsi="Century Gothic"/>
                <w:sz w:val="24"/>
                <w:szCs w:val="20"/>
                <w:highlight w:val="yellow"/>
                <w:lang w:eastAsia="es-ES"/>
              </w:rPr>
              <w:t>6 de septiembre del 2025</w:t>
            </w:r>
          </w:p>
        </w:tc>
      </w:tr>
      <w:tr w:rsidR="00706895" w:rsidRPr="005E3E04" w14:paraId="2E6C290B" w14:textId="77777777" w:rsidTr="007F5615">
        <w:trPr>
          <w:trHeight w:val="275"/>
        </w:trPr>
        <w:tc>
          <w:tcPr>
            <w:tcW w:w="3941" w:type="dxa"/>
            <w:gridSpan w:val="3"/>
            <w:shd w:val="clear" w:color="auto" w:fill="E7B3E3"/>
          </w:tcPr>
          <w:p w14:paraId="014EB6AF" w14:textId="77777777" w:rsidR="00706895" w:rsidRPr="002D1BCE" w:rsidRDefault="00706895" w:rsidP="00706895">
            <w:pPr>
              <w:rPr>
                <w:rFonts w:ascii="Century Gothic" w:eastAsia="Times New Roman" w:hAnsi="Century Gothic"/>
                <w:b/>
                <w:bCs/>
                <w:sz w:val="24"/>
                <w:szCs w:val="20"/>
                <w:highlight w:val="yellow"/>
                <w:lang w:eastAsia="es-ES"/>
              </w:rPr>
            </w:pPr>
            <w:r>
              <w:rPr>
                <w:rFonts w:ascii="Century Gothic" w:eastAsia="Times New Roman" w:hAnsi="Century Gothic"/>
                <w:b/>
                <w:bCs/>
                <w:sz w:val="24"/>
                <w:szCs w:val="20"/>
                <w:highlight w:val="yellow"/>
                <w:lang w:eastAsia="es-ES"/>
              </w:rPr>
              <w:t>Producto 2:</w:t>
            </w:r>
          </w:p>
        </w:tc>
        <w:tc>
          <w:tcPr>
            <w:tcW w:w="3580" w:type="dxa"/>
            <w:gridSpan w:val="6"/>
            <w:shd w:val="clear" w:color="auto" w:fill="auto"/>
            <w:vAlign w:val="center"/>
          </w:tcPr>
          <w:p w14:paraId="43C303DB" w14:textId="77777777" w:rsidR="00706895" w:rsidRPr="002D1BCE" w:rsidRDefault="00706895" w:rsidP="00706895">
            <w:pPr>
              <w:rPr>
                <w:rFonts w:ascii="Century Gothic" w:eastAsia="Times New Roman" w:hAnsi="Century Gothic"/>
                <w:b/>
                <w:bCs/>
                <w:sz w:val="24"/>
                <w:szCs w:val="20"/>
                <w:highlight w:val="yellow"/>
                <w:lang w:eastAsia="es-ES"/>
              </w:rPr>
            </w:pPr>
          </w:p>
        </w:tc>
        <w:tc>
          <w:tcPr>
            <w:tcW w:w="2843" w:type="dxa"/>
            <w:gridSpan w:val="5"/>
            <w:shd w:val="clear" w:color="auto" w:fill="auto"/>
            <w:vAlign w:val="center"/>
          </w:tcPr>
          <w:p w14:paraId="2B77CFD0" w14:textId="77777777" w:rsidR="00706895" w:rsidRPr="002D1BCE" w:rsidRDefault="00706895" w:rsidP="00706895">
            <w:pPr>
              <w:rPr>
                <w:rFonts w:ascii="Century Gothic" w:eastAsia="Times New Roman" w:hAnsi="Century Gothic"/>
                <w:b/>
                <w:bCs/>
                <w:sz w:val="24"/>
                <w:szCs w:val="20"/>
                <w:highlight w:val="yellow"/>
                <w:lang w:eastAsia="es-ES"/>
              </w:rPr>
            </w:pPr>
          </w:p>
        </w:tc>
      </w:tr>
      <w:tr w:rsidR="00706895" w:rsidRPr="005E3E04" w14:paraId="2AF35538" w14:textId="77777777" w:rsidTr="007F5615">
        <w:trPr>
          <w:trHeight w:val="275"/>
        </w:trPr>
        <w:tc>
          <w:tcPr>
            <w:tcW w:w="3941" w:type="dxa"/>
            <w:gridSpan w:val="3"/>
            <w:shd w:val="clear" w:color="auto" w:fill="E7B3E3"/>
          </w:tcPr>
          <w:p w14:paraId="066F539B" w14:textId="77777777" w:rsidR="00706895" w:rsidRPr="002D1BCE" w:rsidRDefault="00706895" w:rsidP="00706895">
            <w:pPr>
              <w:rPr>
                <w:rFonts w:ascii="Century Gothic" w:eastAsia="Times New Roman" w:hAnsi="Century Gothic"/>
                <w:b/>
                <w:bCs/>
                <w:sz w:val="24"/>
                <w:szCs w:val="20"/>
                <w:highlight w:val="yellow"/>
                <w:lang w:eastAsia="es-ES"/>
              </w:rPr>
            </w:pPr>
            <w:r>
              <w:rPr>
                <w:rFonts w:ascii="Century Gothic" w:eastAsia="Times New Roman" w:hAnsi="Century Gothic"/>
                <w:b/>
                <w:bCs/>
                <w:sz w:val="24"/>
                <w:szCs w:val="20"/>
                <w:highlight w:val="yellow"/>
                <w:lang w:eastAsia="es-ES"/>
              </w:rPr>
              <w:t>Producto 3:</w:t>
            </w:r>
          </w:p>
        </w:tc>
        <w:tc>
          <w:tcPr>
            <w:tcW w:w="3580" w:type="dxa"/>
            <w:gridSpan w:val="6"/>
            <w:shd w:val="clear" w:color="auto" w:fill="auto"/>
            <w:vAlign w:val="center"/>
          </w:tcPr>
          <w:p w14:paraId="77E71528" w14:textId="77777777" w:rsidR="00706895" w:rsidRPr="002D1BCE" w:rsidRDefault="00706895" w:rsidP="00706895">
            <w:pPr>
              <w:rPr>
                <w:rFonts w:ascii="Century Gothic" w:eastAsia="Times New Roman" w:hAnsi="Century Gothic"/>
                <w:b/>
                <w:bCs/>
                <w:sz w:val="24"/>
                <w:szCs w:val="20"/>
                <w:highlight w:val="yellow"/>
                <w:lang w:eastAsia="es-ES"/>
              </w:rPr>
            </w:pPr>
          </w:p>
        </w:tc>
        <w:tc>
          <w:tcPr>
            <w:tcW w:w="2843" w:type="dxa"/>
            <w:gridSpan w:val="5"/>
            <w:shd w:val="clear" w:color="auto" w:fill="auto"/>
            <w:vAlign w:val="center"/>
          </w:tcPr>
          <w:p w14:paraId="7723940B" w14:textId="77777777" w:rsidR="00706895" w:rsidRPr="002D1BCE" w:rsidRDefault="00706895" w:rsidP="00706895">
            <w:pPr>
              <w:rPr>
                <w:rFonts w:ascii="Century Gothic" w:eastAsia="Times New Roman" w:hAnsi="Century Gothic"/>
                <w:b/>
                <w:bCs/>
                <w:sz w:val="24"/>
                <w:szCs w:val="20"/>
                <w:highlight w:val="yellow"/>
                <w:lang w:eastAsia="es-ES"/>
              </w:rPr>
            </w:pPr>
          </w:p>
        </w:tc>
      </w:tr>
      <w:tr w:rsidR="00706895" w:rsidRPr="005E3E04" w14:paraId="0C094839" w14:textId="77777777" w:rsidTr="007F5615">
        <w:trPr>
          <w:trHeight w:val="275"/>
        </w:trPr>
        <w:tc>
          <w:tcPr>
            <w:tcW w:w="3941" w:type="dxa"/>
            <w:gridSpan w:val="3"/>
            <w:shd w:val="clear" w:color="auto" w:fill="E7B3E3"/>
          </w:tcPr>
          <w:p w14:paraId="54191C7C" w14:textId="77777777" w:rsidR="00706895" w:rsidRPr="002D1BCE" w:rsidRDefault="00706895" w:rsidP="00706895">
            <w:pPr>
              <w:rPr>
                <w:rFonts w:ascii="Century Gothic" w:eastAsia="Times New Roman" w:hAnsi="Century Gothic"/>
                <w:b/>
                <w:bCs/>
                <w:sz w:val="24"/>
                <w:szCs w:val="20"/>
                <w:highlight w:val="yellow"/>
                <w:lang w:eastAsia="es-ES"/>
              </w:rPr>
            </w:pPr>
            <w:r>
              <w:rPr>
                <w:rFonts w:ascii="Century Gothic" w:eastAsia="Times New Roman" w:hAnsi="Century Gothic"/>
                <w:b/>
                <w:bCs/>
                <w:sz w:val="24"/>
                <w:szCs w:val="20"/>
                <w:highlight w:val="yellow"/>
                <w:lang w:eastAsia="es-ES"/>
              </w:rPr>
              <w:t>Producto 4:</w:t>
            </w:r>
          </w:p>
        </w:tc>
        <w:tc>
          <w:tcPr>
            <w:tcW w:w="3580" w:type="dxa"/>
            <w:gridSpan w:val="6"/>
            <w:shd w:val="clear" w:color="auto" w:fill="auto"/>
            <w:vAlign w:val="center"/>
          </w:tcPr>
          <w:p w14:paraId="6266A466" w14:textId="77777777" w:rsidR="00706895" w:rsidRPr="002D1BCE" w:rsidRDefault="00706895" w:rsidP="00706895">
            <w:pPr>
              <w:rPr>
                <w:rFonts w:ascii="Century Gothic" w:eastAsia="Times New Roman" w:hAnsi="Century Gothic"/>
                <w:b/>
                <w:bCs/>
                <w:sz w:val="24"/>
                <w:szCs w:val="20"/>
                <w:highlight w:val="yellow"/>
                <w:lang w:eastAsia="es-ES"/>
              </w:rPr>
            </w:pPr>
          </w:p>
        </w:tc>
        <w:tc>
          <w:tcPr>
            <w:tcW w:w="2843" w:type="dxa"/>
            <w:gridSpan w:val="5"/>
            <w:shd w:val="clear" w:color="auto" w:fill="auto"/>
            <w:vAlign w:val="center"/>
          </w:tcPr>
          <w:p w14:paraId="16BDD7B7" w14:textId="77777777" w:rsidR="00706895" w:rsidRPr="002D1BCE" w:rsidRDefault="00706895" w:rsidP="00706895">
            <w:pPr>
              <w:rPr>
                <w:rFonts w:ascii="Century Gothic" w:eastAsia="Times New Roman" w:hAnsi="Century Gothic"/>
                <w:b/>
                <w:bCs/>
                <w:sz w:val="24"/>
                <w:szCs w:val="20"/>
                <w:highlight w:val="yellow"/>
                <w:lang w:eastAsia="es-ES"/>
              </w:rPr>
            </w:pPr>
          </w:p>
        </w:tc>
      </w:tr>
      <w:tr w:rsidR="00706895" w:rsidRPr="005E3E04" w14:paraId="10EAEC08" w14:textId="77777777" w:rsidTr="007F5615">
        <w:trPr>
          <w:trHeight w:val="275"/>
        </w:trPr>
        <w:tc>
          <w:tcPr>
            <w:tcW w:w="3941" w:type="dxa"/>
            <w:gridSpan w:val="3"/>
            <w:shd w:val="clear" w:color="auto" w:fill="E7B3E3"/>
          </w:tcPr>
          <w:p w14:paraId="5B2463C9" w14:textId="77777777" w:rsidR="00706895" w:rsidRPr="002D1BCE" w:rsidRDefault="00706895" w:rsidP="00706895">
            <w:pPr>
              <w:rPr>
                <w:rFonts w:ascii="Century Gothic" w:eastAsia="Times New Roman" w:hAnsi="Century Gothic"/>
                <w:b/>
                <w:bCs/>
                <w:sz w:val="24"/>
                <w:szCs w:val="20"/>
                <w:highlight w:val="yellow"/>
                <w:lang w:eastAsia="es-ES"/>
              </w:rPr>
            </w:pPr>
            <w:r>
              <w:rPr>
                <w:rFonts w:ascii="Century Gothic" w:eastAsia="Times New Roman" w:hAnsi="Century Gothic"/>
                <w:b/>
                <w:bCs/>
                <w:sz w:val="24"/>
                <w:szCs w:val="20"/>
                <w:highlight w:val="yellow"/>
                <w:lang w:eastAsia="es-ES"/>
              </w:rPr>
              <w:t>Producto 5:</w:t>
            </w:r>
          </w:p>
        </w:tc>
        <w:tc>
          <w:tcPr>
            <w:tcW w:w="3580" w:type="dxa"/>
            <w:gridSpan w:val="6"/>
            <w:shd w:val="clear" w:color="auto" w:fill="auto"/>
            <w:vAlign w:val="center"/>
          </w:tcPr>
          <w:p w14:paraId="1E14EEE3" w14:textId="77777777" w:rsidR="00706895" w:rsidRPr="002D1BCE" w:rsidRDefault="00706895" w:rsidP="00706895">
            <w:pPr>
              <w:rPr>
                <w:rFonts w:ascii="Century Gothic" w:eastAsia="Times New Roman" w:hAnsi="Century Gothic"/>
                <w:b/>
                <w:bCs/>
                <w:sz w:val="24"/>
                <w:szCs w:val="20"/>
                <w:highlight w:val="yellow"/>
                <w:lang w:eastAsia="es-ES"/>
              </w:rPr>
            </w:pPr>
          </w:p>
        </w:tc>
        <w:tc>
          <w:tcPr>
            <w:tcW w:w="2843" w:type="dxa"/>
            <w:gridSpan w:val="5"/>
            <w:shd w:val="clear" w:color="auto" w:fill="auto"/>
            <w:vAlign w:val="center"/>
          </w:tcPr>
          <w:p w14:paraId="241D3E47" w14:textId="77777777" w:rsidR="00706895" w:rsidRPr="002D1BCE" w:rsidRDefault="00706895" w:rsidP="00706895">
            <w:pPr>
              <w:rPr>
                <w:rFonts w:ascii="Century Gothic" w:eastAsia="Times New Roman" w:hAnsi="Century Gothic"/>
                <w:b/>
                <w:bCs/>
                <w:sz w:val="24"/>
                <w:szCs w:val="20"/>
                <w:highlight w:val="yellow"/>
                <w:lang w:eastAsia="es-ES"/>
              </w:rPr>
            </w:pPr>
          </w:p>
        </w:tc>
      </w:tr>
      <w:tr w:rsidR="00706895" w:rsidRPr="005E3E04" w14:paraId="4BFF72B9" w14:textId="77777777" w:rsidTr="007F5615">
        <w:trPr>
          <w:trHeight w:val="275"/>
        </w:trPr>
        <w:tc>
          <w:tcPr>
            <w:tcW w:w="3941" w:type="dxa"/>
            <w:gridSpan w:val="3"/>
            <w:shd w:val="clear" w:color="auto" w:fill="E7B3E3"/>
          </w:tcPr>
          <w:p w14:paraId="1F6DB843" w14:textId="77777777" w:rsidR="00706895" w:rsidRPr="005E3E04" w:rsidRDefault="00706895" w:rsidP="00706895">
            <w:pPr>
              <w:rPr>
                <w:rFonts w:ascii="Century Gothic" w:eastAsia="Times New Roman" w:hAnsi="Century Gothic"/>
                <w:b/>
                <w:bCs/>
                <w:sz w:val="24"/>
                <w:szCs w:val="20"/>
                <w:lang w:eastAsia="es-ES"/>
              </w:rPr>
            </w:pPr>
            <w:r>
              <w:rPr>
                <w:rFonts w:ascii="Century Gothic" w:eastAsia="Times New Roman" w:hAnsi="Century Gothic"/>
                <w:b/>
                <w:bCs/>
                <w:sz w:val="24"/>
                <w:szCs w:val="20"/>
                <w:lang w:eastAsia="es-ES"/>
              </w:rPr>
              <w:t xml:space="preserve">[…] </w:t>
            </w:r>
          </w:p>
        </w:tc>
        <w:tc>
          <w:tcPr>
            <w:tcW w:w="3580" w:type="dxa"/>
            <w:gridSpan w:val="6"/>
            <w:shd w:val="clear" w:color="auto" w:fill="auto"/>
            <w:vAlign w:val="center"/>
          </w:tcPr>
          <w:p w14:paraId="4F42B582" w14:textId="77777777" w:rsidR="00706895" w:rsidRPr="005E3E04" w:rsidRDefault="00706895" w:rsidP="00706895">
            <w:pPr>
              <w:rPr>
                <w:rFonts w:ascii="Century Gothic" w:eastAsia="Times New Roman" w:hAnsi="Century Gothic"/>
                <w:b/>
                <w:bCs/>
                <w:sz w:val="24"/>
                <w:szCs w:val="20"/>
                <w:lang w:eastAsia="es-ES"/>
              </w:rPr>
            </w:pPr>
          </w:p>
        </w:tc>
        <w:tc>
          <w:tcPr>
            <w:tcW w:w="2843" w:type="dxa"/>
            <w:gridSpan w:val="5"/>
            <w:shd w:val="clear" w:color="auto" w:fill="auto"/>
            <w:vAlign w:val="center"/>
          </w:tcPr>
          <w:p w14:paraId="4D3A2DE4" w14:textId="77777777" w:rsidR="00706895" w:rsidRPr="005E3E04" w:rsidRDefault="00706895" w:rsidP="00706895">
            <w:pPr>
              <w:rPr>
                <w:rFonts w:ascii="Century Gothic" w:eastAsia="Times New Roman" w:hAnsi="Century Gothic"/>
                <w:b/>
                <w:bCs/>
                <w:sz w:val="24"/>
                <w:szCs w:val="20"/>
                <w:lang w:eastAsia="es-ES"/>
              </w:rPr>
            </w:pPr>
          </w:p>
        </w:tc>
      </w:tr>
      <w:tr w:rsidR="00706895" w:rsidRPr="005E3E04" w14:paraId="4E5B9269" w14:textId="77777777" w:rsidTr="007F5615">
        <w:tc>
          <w:tcPr>
            <w:tcW w:w="10364" w:type="dxa"/>
            <w:gridSpan w:val="14"/>
            <w:shd w:val="clear" w:color="auto" w:fill="E7B3E3"/>
          </w:tcPr>
          <w:p w14:paraId="21E0F674" w14:textId="0077C11D" w:rsidR="00706895" w:rsidRPr="005E3E04" w:rsidRDefault="00706895" w:rsidP="00706895">
            <w:pPr>
              <w:rPr>
                <w:rFonts w:ascii="Century Gothic" w:eastAsia="Times New Roman" w:hAnsi="Century Gothic"/>
                <w:b/>
                <w:bCs/>
                <w:sz w:val="28"/>
                <w:szCs w:val="20"/>
                <w:lang w:eastAsia="es-ES"/>
              </w:rPr>
            </w:pPr>
            <w:r>
              <w:rPr>
                <w:rFonts w:ascii="Century Gothic" w:eastAsia="Times New Roman" w:hAnsi="Century Gothic"/>
                <w:b/>
                <w:bCs/>
                <w:sz w:val="28"/>
                <w:szCs w:val="20"/>
                <w:lang w:eastAsia="es-ES"/>
              </w:rPr>
              <w:t>16.- FORMA Y CONDICIONES DE PAGO:</w:t>
            </w:r>
          </w:p>
        </w:tc>
      </w:tr>
      <w:tr w:rsidR="00706895" w:rsidRPr="005E3E04" w14:paraId="7F4AAAEE" w14:textId="77777777" w:rsidTr="007F5615">
        <w:trPr>
          <w:trHeight w:val="340"/>
        </w:trPr>
        <w:tc>
          <w:tcPr>
            <w:tcW w:w="3516" w:type="dxa"/>
            <w:gridSpan w:val="2"/>
            <w:shd w:val="clear" w:color="auto" w:fill="E7B3E3"/>
            <w:vAlign w:val="center"/>
          </w:tcPr>
          <w:p w14:paraId="007F70D4" w14:textId="77777777" w:rsidR="00706895" w:rsidRPr="005E3E04" w:rsidRDefault="00706895" w:rsidP="00706895">
            <w:pPr>
              <w:rPr>
                <w:rFonts w:ascii="Century Gothic" w:hAnsi="Century Gothic"/>
                <w:b/>
                <w:sz w:val="20"/>
                <w:szCs w:val="20"/>
              </w:rPr>
            </w:pPr>
            <w:r>
              <w:rPr>
                <w:rFonts w:ascii="Century Gothic" w:hAnsi="Century Gothic"/>
                <w:b/>
                <w:sz w:val="20"/>
                <w:szCs w:val="20"/>
              </w:rPr>
              <w:lastRenderedPageBreak/>
              <w:t>a) Contra entrega:</w:t>
            </w:r>
          </w:p>
        </w:tc>
        <w:tc>
          <w:tcPr>
            <w:tcW w:w="425" w:type="dxa"/>
            <w:vAlign w:val="center"/>
          </w:tcPr>
          <w:p w14:paraId="34183228" w14:textId="77777777" w:rsidR="00706895" w:rsidRPr="005E3E04" w:rsidRDefault="00706895" w:rsidP="00706895">
            <w:pPr>
              <w:jc w:val="center"/>
              <w:rPr>
                <w:rFonts w:ascii="Century Gothic" w:hAnsi="Century Gothic"/>
                <w:b/>
                <w:sz w:val="20"/>
                <w:szCs w:val="20"/>
              </w:rPr>
            </w:pPr>
            <w:r>
              <w:rPr>
                <w:rFonts w:ascii="Century Gothic" w:hAnsi="Century Gothic"/>
                <w:b/>
                <w:sz w:val="20"/>
                <w:szCs w:val="20"/>
              </w:rPr>
              <w:t>x</w:t>
            </w:r>
          </w:p>
        </w:tc>
        <w:tc>
          <w:tcPr>
            <w:tcW w:w="1305" w:type="dxa"/>
            <w:gridSpan w:val="2"/>
            <w:shd w:val="clear" w:color="auto" w:fill="E7B3E3"/>
            <w:vAlign w:val="center"/>
          </w:tcPr>
          <w:p w14:paraId="1F490AC4" w14:textId="77777777" w:rsidR="00706895" w:rsidRPr="005E3E04" w:rsidRDefault="00706895" w:rsidP="00706895">
            <w:pPr>
              <w:rPr>
                <w:rFonts w:ascii="Century Gothic" w:hAnsi="Century Gothic"/>
                <w:b/>
                <w:sz w:val="20"/>
                <w:szCs w:val="20"/>
              </w:rPr>
            </w:pPr>
            <w:r>
              <w:rPr>
                <w:rFonts w:ascii="Century Gothic" w:hAnsi="Century Gothic"/>
                <w:b/>
                <w:sz w:val="20"/>
                <w:szCs w:val="20"/>
              </w:rPr>
              <w:t xml:space="preserve">b) Pago por planilla: </w:t>
            </w:r>
          </w:p>
        </w:tc>
        <w:tc>
          <w:tcPr>
            <w:tcW w:w="1388" w:type="dxa"/>
            <w:vAlign w:val="center"/>
          </w:tcPr>
          <w:p w14:paraId="502EC533" w14:textId="77777777" w:rsidR="00706895" w:rsidRPr="005E3E04" w:rsidRDefault="00706895" w:rsidP="00706895">
            <w:pPr>
              <w:jc w:val="center"/>
              <w:rPr>
                <w:rFonts w:ascii="Century Gothic" w:hAnsi="Century Gothic"/>
                <w:b/>
                <w:sz w:val="20"/>
                <w:szCs w:val="20"/>
              </w:rPr>
            </w:pPr>
          </w:p>
        </w:tc>
        <w:tc>
          <w:tcPr>
            <w:tcW w:w="993" w:type="dxa"/>
            <w:gridSpan w:val="4"/>
            <w:shd w:val="clear" w:color="auto" w:fill="E7B3E3"/>
            <w:vAlign w:val="center"/>
          </w:tcPr>
          <w:p w14:paraId="2D501C5E" w14:textId="77777777" w:rsidR="00706895" w:rsidRPr="005E3E04" w:rsidRDefault="00706895" w:rsidP="00706895">
            <w:pPr>
              <w:rPr>
                <w:rFonts w:ascii="Century Gothic" w:hAnsi="Century Gothic"/>
                <w:b/>
                <w:sz w:val="20"/>
                <w:szCs w:val="20"/>
              </w:rPr>
            </w:pPr>
            <w:r>
              <w:rPr>
                <w:rFonts w:ascii="Century Gothic" w:hAnsi="Century Gothic"/>
                <w:b/>
                <w:sz w:val="20"/>
                <w:szCs w:val="20"/>
              </w:rPr>
              <w:t xml:space="preserve">c) Otra: </w:t>
            </w:r>
          </w:p>
        </w:tc>
        <w:tc>
          <w:tcPr>
            <w:tcW w:w="425" w:type="dxa"/>
            <w:vAlign w:val="center"/>
          </w:tcPr>
          <w:p w14:paraId="755D146B" w14:textId="77777777" w:rsidR="00706895" w:rsidRPr="005E3E04" w:rsidRDefault="00706895" w:rsidP="00706895">
            <w:pPr>
              <w:jc w:val="center"/>
              <w:rPr>
                <w:rFonts w:ascii="Century Gothic" w:hAnsi="Century Gothic"/>
                <w:b/>
                <w:sz w:val="20"/>
                <w:szCs w:val="20"/>
              </w:rPr>
            </w:pPr>
          </w:p>
        </w:tc>
        <w:tc>
          <w:tcPr>
            <w:tcW w:w="1417" w:type="dxa"/>
            <w:shd w:val="clear" w:color="auto" w:fill="E7B3E3"/>
            <w:vAlign w:val="center"/>
          </w:tcPr>
          <w:p w14:paraId="0EE537A6" w14:textId="77777777" w:rsidR="00706895" w:rsidRPr="005E3E04" w:rsidRDefault="00706895" w:rsidP="00706895">
            <w:pPr>
              <w:rPr>
                <w:rFonts w:ascii="Century Gothic" w:hAnsi="Century Gothic"/>
                <w:b/>
                <w:sz w:val="20"/>
                <w:szCs w:val="20"/>
              </w:rPr>
            </w:pPr>
            <w:r>
              <w:rPr>
                <w:rFonts w:ascii="Century Gothic" w:hAnsi="Century Gothic"/>
                <w:b/>
                <w:sz w:val="16"/>
                <w:szCs w:val="20"/>
              </w:rPr>
              <w:t xml:space="preserve">Especifique: </w:t>
            </w:r>
          </w:p>
        </w:tc>
        <w:tc>
          <w:tcPr>
            <w:tcW w:w="895" w:type="dxa"/>
            <w:gridSpan w:val="2"/>
            <w:shd w:val="clear" w:color="auto" w:fill="auto"/>
            <w:vAlign w:val="center"/>
          </w:tcPr>
          <w:p w14:paraId="0A9488A4" w14:textId="77777777" w:rsidR="00706895" w:rsidRPr="005E3E04" w:rsidRDefault="00706895" w:rsidP="00706895">
            <w:pPr>
              <w:rPr>
                <w:rFonts w:ascii="Century Gothic" w:hAnsi="Century Gothic"/>
                <w:b/>
                <w:sz w:val="20"/>
                <w:szCs w:val="20"/>
              </w:rPr>
            </w:pPr>
          </w:p>
        </w:tc>
      </w:tr>
      <w:tr w:rsidR="00706895" w:rsidRPr="005E3E04" w14:paraId="7B2CA734" w14:textId="77777777" w:rsidTr="007F5615">
        <w:trPr>
          <w:trHeight w:val="549"/>
        </w:trPr>
        <w:tc>
          <w:tcPr>
            <w:tcW w:w="3516" w:type="dxa"/>
            <w:gridSpan w:val="2"/>
            <w:shd w:val="clear" w:color="auto" w:fill="E7B3E3"/>
            <w:vAlign w:val="center"/>
          </w:tcPr>
          <w:p w14:paraId="6E8C64DE" w14:textId="77777777" w:rsidR="00706895" w:rsidRPr="005E3E04" w:rsidRDefault="00706895" w:rsidP="00706895">
            <w:pPr>
              <w:rPr>
                <w:rFonts w:ascii="Century Gothic" w:hAnsi="Century Gothic"/>
                <w:b/>
                <w:sz w:val="20"/>
                <w:szCs w:val="20"/>
              </w:rPr>
            </w:pPr>
            <w:r>
              <w:rPr>
                <w:rFonts w:ascii="Century Gothic" w:hAnsi="Century Gothic"/>
                <w:b/>
                <w:sz w:val="20"/>
                <w:szCs w:val="20"/>
              </w:rPr>
              <w:t>d) Anticipo:</w:t>
            </w:r>
          </w:p>
        </w:tc>
        <w:tc>
          <w:tcPr>
            <w:tcW w:w="425" w:type="dxa"/>
            <w:vAlign w:val="center"/>
          </w:tcPr>
          <w:p w14:paraId="1B0694F5" w14:textId="77777777" w:rsidR="00706895" w:rsidRPr="005E3E04" w:rsidRDefault="00706895" w:rsidP="00706895">
            <w:pPr>
              <w:rPr>
                <w:rFonts w:ascii="Century Gothic" w:hAnsi="Century Gothic"/>
                <w:b/>
                <w:sz w:val="20"/>
                <w:szCs w:val="20"/>
              </w:rPr>
            </w:pPr>
          </w:p>
        </w:tc>
        <w:tc>
          <w:tcPr>
            <w:tcW w:w="1305" w:type="dxa"/>
            <w:gridSpan w:val="2"/>
            <w:shd w:val="clear" w:color="auto" w:fill="E7B3E3"/>
            <w:vAlign w:val="center"/>
          </w:tcPr>
          <w:p w14:paraId="668D3BAA" w14:textId="77777777" w:rsidR="00706895" w:rsidRPr="005E3E04" w:rsidRDefault="00706895" w:rsidP="00706895">
            <w:pPr>
              <w:jc w:val="right"/>
              <w:rPr>
                <w:rFonts w:ascii="Century Gothic" w:hAnsi="Century Gothic"/>
                <w:b/>
                <w:sz w:val="20"/>
                <w:szCs w:val="20"/>
              </w:rPr>
            </w:pPr>
            <w:r>
              <w:rPr>
                <w:rFonts w:ascii="Century Gothic" w:hAnsi="Century Gothic"/>
                <w:b/>
                <w:sz w:val="20"/>
                <w:szCs w:val="20"/>
              </w:rPr>
              <w:t xml:space="preserve">Porcentaje: </w:t>
            </w:r>
          </w:p>
        </w:tc>
        <w:tc>
          <w:tcPr>
            <w:tcW w:w="5118" w:type="dxa"/>
            <w:gridSpan w:val="9"/>
          </w:tcPr>
          <w:p w14:paraId="5336DF98" w14:textId="77777777" w:rsidR="00706895" w:rsidRPr="005E3E04" w:rsidRDefault="00706895" w:rsidP="00706895">
            <w:pPr>
              <w:rPr>
                <w:rFonts w:ascii="Century Gothic" w:hAnsi="Century Gothic"/>
                <w:b/>
                <w:sz w:val="20"/>
                <w:szCs w:val="20"/>
              </w:rPr>
            </w:pPr>
          </w:p>
        </w:tc>
      </w:tr>
      <w:tr w:rsidR="00706895" w:rsidRPr="005E3E04" w14:paraId="00ED79C8" w14:textId="77777777" w:rsidTr="007F5615">
        <w:trPr>
          <w:trHeight w:val="389"/>
        </w:trPr>
        <w:tc>
          <w:tcPr>
            <w:tcW w:w="3941" w:type="dxa"/>
            <w:gridSpan w:val="3"/>
            <w:shd w:val="clear" w:color="auto" w:fill="E7B3E3"/>
            <w:vAlign w:val="center"/>
          </w:tcPr>
          <w:p w14:paraId="7B175FB0" w14:textId="77777777" w:rsidR="00706895" w:rsidRPr="005E3E04" w:rsidRDefault="00706895" w:rsidP="00706895">
            <w:pPr>
              <w:rPr>
                <w:rFonts w:ascii="Century Gothic" w:hAnsi="Century Gothic"/>
                <w:b/>
                <w:sz w:val="20"/>
                <w:szCs w:val="20"/>
              </w:rPr>
            </w:pPr>
            <w:r>
              <w:rPr>
                <w:rFonts w:ascii="Century Gothic" w:hAnsi="Century Gothic"/>
                <w:b/>
                <w:sz w:val="20"/>
                <w:szCs w:val="20"/>
              </w:rPr>
              <w:t>e) Condiciones de pago:</w:t>
            </w:r>
          </w:p>
          <w:p w14:paraId="4ABECF0F" w14:textId="77777777" w:rsidR="00706895" w:rsidRPr="005E3E04" w:rsidRDefault="00706895" w:rsidP="00706895">
            <w:pPr>
              <w:jc w:val="both"/>
              <w:rPr>
                <w:rFonts w:ascii="Century Gothic" w:hAnsi="Century Gothic"/>
                <w:sz w:val="20"/>
                <w:szCs w:val="20"/>
              </w:rPr>
            </w:pPr>
            <w:r>
              <w:rPr>
                <w:rFonts w:ascii="Century Gothic" w:hAnsi="Century Gothic"/>
                <w:sz w:val="16"/>
                <w:szCs w:val="20"/>
              </w:rPr>
              <w:t>La entidad contratante de manera justificada deberá indicar con precisión los requisitos indispensables para proceder con el pago.</w:t>
            </w:r>
          </w:p>
        </w:tc>
        <w:tc>
          <w:tcPr>
            <w:tcW w:w="6423" w:type="dxa"/>
            <w:gridSpan w:val="11"/>
            <w:vAlign w:val="center"/>
          </w:tcPr>
          <w:p w14:paraId="151A507D" w14:textId="77777777" w:rsidR="00706895" w:rsidRPr="005E3E04" w:rsidRDefault="00706895" w:rsidP="00706895">
            <w:pPr>
              <w:spacing w:line="360" w:lineRule="auto"/>
              <w:jc w:val="both"/>
              <w:rPr>
                <w:rFonts w:ascii="Century Gothic" w:eastAsia="Times New Roman" w:hAnsi="Century Gothic" w:cstheme="minorHAnsi"/>
              </w:rPr>
            </w:pPr>
            <w:r>
              <w:rPr>
                <w:rFonts w:ascii="Century Gothic" w:eastAsia="Times New Roman" w:hAnsi="Century Gothic" w:cstheme="minorHAnsi"/>
              </w:rPr>
              <w:t xml:space="preserve">El pago se lo realizara </w:t>
            </w:r>
            <w:r>
              <w:rPr>
                <w:rFonts w:ascii="Century Gothic" w:eastAsia="Times New Roman" w:hAnsi="Century Gothic" w:cstheme="minorHAnsi"/>
                <w:b/>
                <w:bCs/>
              </w:rPr>
              <w:t>TOTAL</w:t>
            </w:r>
            <w:r>
              <w:rPr>
                <w:rFonts w:ascii="Century Gothic" w:eastAsia="Times New Roman" w:hAnsi="Century Gothic" w:cstheme="minorHAnsi"/>
              </w:rPr>
              <w:t xml:space="preserve"> con la entrega de la factura previo informe de entera satisfacción del administrador del contrato y demás documentos que solicite la Entidad contratante, a través del mencionado funcionario.</w:t>
            </w:r>
          </w:p>
          <w:p w14:paraId="2D8E7D50" w14:textId="77777777" w:rsidR="00706895" w:rsidRPr="005E3E04" w:rsidRDefault="00706895" w:rsidP="00706895">
            <w:pPr>
              <w:spacing w:line="360" w:lineRule="auto"/>
              <w:jc w:val="both"/>
              <w:rPr>
                <w:rFonts w:ascii="Century Gothic" w:eastAsia="Times New Roman" w:hAnsi="Century Gothic" w:cstheme="minorHAnsi"/>
              </w:rPr>
            </w:pPr>
            <w:r>
              <w:rPr>
                <w:rFonts w:ascii="Century Gothic" w:eastAsia="Times New Roman" w:hAnsi="Century Gothic" w:cstheme="minorHAnsi"/>
              </w:rPr>
              <w:t xml:space="preserve">Para la cancelación del pago, el área Financiera de la Entidad procederá a solicitarle al proveedor a través de los medios electrónicos de contacto la emisión de la </w:t>
            </w:r>
            <w:r>
              <w:rPr>
                <w:rFonts w:ascii="Century Gothic" w:eastAsia="Times New Roman" w:hAnsi="Century Gothic" w:cstheme="minorHAnsi"/>
                <w:b/>
                <w:bCs/>
              </w:rPr>
              <w:t>FACTURA</w:t>
            </w:r>
            <w:r>
              <w:rPr>
                <w:rFonts w:ascii="Century Gothic" w:eastAsia="Times New Roman" w:hAnsi="Century Gothic" w:cstheme="minorHAnsi"/>
              </w:rPr>
              <w:t xml:space="preserve"> para su cancelación. </w:t>
            </w:r>
          </w:p>
          <w:p w14:paraId="4E6A3EDA" w14:textId="77777777" w:rsidR="00706895" w:rsidRPr="005E3E04" w:rsidRDefault="00706895" w:rsidP="00706895">
            <w:pPr>
              <w:pStyle w:val="Prrafodelista"/>
              <w:numPr>
                <w:ilvl w:val="0"/>
                <w:numId w:val="7"/>
              </w:numPr>
              <w:spacing w:line="360" w:lineRule="auto"/>
              <w:jc w:val="both"/>
              <w:rPr>
                <w:rFonts w:ascii="Century Gothic" w:eastAsia="Times New Roman" w:hAnsi="Century Gothic" w:cstheme="minorHAnsi"/>
              </w:rPr>
            </w:pPr>
            <w:r>
              <w:rPr>
                <w:rFonts w:ascii="Century Gothic" w:eastAsia="Times New Roman" w:hAnsi="Century Gothic" w:cstheme="minorHAnsi"/>
                <w:b/>
              </w:rPr>
              <w:t>ACTA ENTREGA-RECEPCIÓN</w:t>
            </w:r>
            <w:r>
              <w:rPr>
                <w:rFonts w:ascii="Century Gothic" w:eastAsia="Times New Roman" w:hAnsi="Century Gothic" w:cstheme="minorHAnsi"/>
              </w:rPr>
              <w:t xml:space="preserve"> firmado por los funcionarios que intervengan en la Recepción por la instalación, capacitación y puesta en marcha del equipo. </w:t>
            </w:r>
          </w:p>
          <w:p w14:paraId="5CFA1466" w14:textId="77777777" w:rsidR="00706895" w:rsidRPr="005E3E04" w:rsidRDefault="00706895" w:rsidP="00706895">
            <w:pPr>
              <w:pStyle w:val="Prrafodelista"/>
              <w:numPr>
                <w:ilvl w:val="0"/>
                <w:numId w:val="7"/>
              </w:numPr>
              <w:spacing w:line="360" w:lineRule="auto"/>
              <w:ind w:left="720"/>
              <w:jc w:val="both"/>
              <w:rPr>
                <w:rFonts w:ascii="Century Gothic" w:eastAsia="Times New Roman" w:hAnsi="Century Gothic" w:cstheme="minorHAnsi"/>
              </w:rPr>
            </w:pPr>
            <w:r>
              <w:rPr>
                <w:rFonts w:ascii="Century Gothic" w:eastAsia="Times New Roman" w:hAnsi="Century Gothic" w:cstheme="minorHAnsi"/>
              </w:rPr>
              <w:t xml:space="preserve">El pago se lo realizará en un plazo máximo de dos (2) meses, contado a partir del cumplimiento de los requisitos previstos en la respectiva cláusula contractual, conforme lo previsto en el Art. 378 del </w:t>
            </w:r>
            <w:r>
              <w:rPr>
                <w:rFonts w:ascii="Century Gothic" w:eastAsia="Times New Roman" w:hAnsi="Century Gothic" w:cs="Calibri"/>
                <w:lang w:eastAsia="es-EC"/>
              </w:rPr>
              <w:t>Reglamento a la Ley Orgánica del Sistema Nacional de Contratación Pública.</w:t>
            </w:r>
          </w:p>
        </w:tc>
      </w:tr>
      <w:tr w:rsidR="00706895" w:rsidRPr="005E3E04" w14:paraId="7A44629E" w14:textId="77777777" w:rsidTr="007F5615">
        <w:trPr>
          <w:trHeight w:val="423"/>
        </w:trPr>
        <w:tc>
          <w:tcPr>
            <w:tcW w:w="3941" w:type="dxa"/>
            <w:gridSpan w:val="3"/>
            <w:shd w:val="clear" w:color="auto" w:fill="E7B3E3"/>
            <w:vAlign w:val="center"/>
          </w:tcPr>
          <w:p w14:paraId="31659046" w14:textId="77777777" w:rsidR="00706895" w:rsidRPr="005E3E04" w:rsidRDefault="00706895" w:rsidP="00706895">
            <w:pPr>
              <w:jc w:val="both"/>
              <w:rPr>
                <w:rFonts w:ascii="Century Gothic" w:hAnsi="Century Gothic"/>
                <w:sz w:val="20"/>
                <w:szCs w:val="20"/>
              </w:rPr>
            </w:pPr>
            <w:r>
              <w:rPr>
                <w:rFonts w:ascii="Century Gothic" w:hAnsi="Century Gothic"/>
                <w:b/>
                <w:sz w:val="20"/>
                <w:szCs w:val="20"/>
              </w:rPr>
              <w:t xml:space="preserve">f) Documentos habilitantes para el pago: </w:t>
            </w:r>
            <w:r>
              <w:rPr>
                <w:rFonts w:ascii="Century Gothic" w:hAnsi="Century Gothic"/>
                <w:sz w:val="16"/>
                <w:szCs w:val="20"/>
              </w:rPr>
              <w:t>Detallar con precisión los documentos que serán requeridos para proceder con el pago, los mismos que no pueden constituir una dificultad para el pago.</w:t>
            </w:r>
          </w:p>
        </w:tc>
        <w:tc>
          <w:tcPr>
            <w:tcW w:w="6423" w:type="dxa"/>
            <w:gridSpan w:val="11"/>
            <w:vAlign w:val="center"/>
          </w:tcPr>
          <w:p w14:paraId="205CA420" w14:textId="77777777" w:rsidR="00706895" w:rsidRPr="005E3E04" w:rsidRDefault="00706895" w:rsidP="00706895">
            <w:pPr>
              <w:pStyle w:val="Prrafodelista"/>
              <w:numPr>
                <w:ilvl w:val="0"/>
                <w:numId w:val="7"/>
              </w:numPr>
              <w:spacing w:line="360" w:lineRule="auto"/>
              <w:jc w:val="both"/>
              <w:rPr>
                <w:rFonts w:ascii="Century Gothic" w:eastAsia="Times New Roman" w:hAnsi="Century Gothic" w:cstheme="minorHAnsi"/>
              </w:rPr>
            </w:pPr>
            <w:r>
              <w:rPr>
                <w:rFonts w:ascii="Century Gothic" w:eastAsia="Times New Roman" w:hAnsi="Century Gothic" w:cstheme="minorHAnsi"/>
                <w:b/>
                <w:bCs/>
              </w:rPr>
              <w:t xml:space="preserve">RUC </w:t>
            </w:r>
            <w:r>
              <w:rPr>
                <w:rFonts w:ascii="Century Gothic" w:eastAsia="Times New Roman" w:hAnsi="Century Gothic" w:cstheme="minorHAnsi"/>
              </w:rPr>
              <w:t>del proveedor para su verificación e ingreso al sistema.</w:t>
            </w:r>
          </w:p>
          <w:p w14:paraId="1D1124AD" w14:textId="77777777" w:rsidR="00706895" w:rsidRPr="005E3E04" w:rsidRDefault="00706895" w:rsidP="00706895">
            <w:pPr>
              <w:pStyle w:val="Prrafodelista"/>
              <w:numPr>
                <w:ilvl w:val="0"/>
                <w:numId w:val="7"/>
              </w:numPr>
              <w:spacing w:line="360" w:lineRule="auto"/>
              <w:jc w:val="both"/>
              <w:rPr>
                <w:rFonts w:ascii="Century Gothic" w:eastAsia="Times New Roman" w:hAnsi="Century Gothic" w:cstheme="minorHAnsi"/>
              </w:rPr>
            </w:pPr>
            <w:r>
              <w:rPr>
                <w:rFonts w:ascii="Century Gothic" w:eastAsia="Times New Roman" w:hAnsi="Century Gothic" w:cstheme="minorHAnsi"/>
                <w:b/>
              </w:rPr>
              <w:t>CERTIFICADO BANCARIO</w:t>
            </w:r>
            <w:r>
              <w:rPr>
                <w:rFonts w:ascii="Century Gothic" w:eastAsia="Times New Roman" w:hAnsi="Century Gothic" w:cstheme="minorHAnsi"/>
              </w:rPr>
              <w:t xml:space="preserve"> al cual se le realizara la transferencia de los fondos.</w:t>
            </w:r>
          </w:p>
          <w:p w14:paraId="35B8AFCB" w14:textId="77777777" w:rsidR="00706895" w:rsidRPr="005E3E04" w:rsidRDefault="00706895" w:rsidP="00706895">
            <w:pPr>
              <w:pStyle w:val="Prrafodelista"/>
              <w:numPr>
                <w:ilvl w:val="0"/>
                <w:numId w:val="7"/>
              </w:numPr>
              <w:spacing w:line="360" w:lineRule="auto"/>
              <w:jc w:val="both"/>
              <w:rPr>
                <w:rFonts w:ascii="Century Gothic" w:hAnsi="Century Gothic"/>
                <w:sz w:val="20"/>
                <w:szCs w:val="20"/>
              </w:rPr>
            </w:pPr>
            <w:r>
              <w:rPr>
                <w:rFonts w:ascii="Century Gothic" w:eastAsia="Times New Roman" w:hAnsi="Century Gothic" w:cstheme="minorHAnsi"/>
                <w:b/>
              </w:rPr>
              <w:t>FACTURA</w:t>
            </w:r>
            <w:r>
              <w:rPr>
                <w:rFonts w:ascii="Century Gothic" w:eastAsia="Times New Roman" w:hAnsi="Century Gothic" w:cstheme="minorHAnsi"/>
              </w:rPr>
              <w:t xml:space="preserve"> electrónica que cumpla con la normativa tributaria detallada con el mes de la facturación realizada.</w:t>
            </w:r>
          </w:p>
          <w:p w14:paraId="093CBDA7" w14:textId="77777777" w:rsidR="00706895" w:rsidRPr="005E3E04" w:rsidRDefault="00706895" w:rsidP="00706895">
            <w:pPr>
              <w:pStyle w:val="Prrafodelista"/>
              <w:numPr>
                <w:ilvl w:val="0"/>
                <w:numId w:val="7"/>
              </w:numPr>
              <w:spacing w:line="360" w:lineRule="auto"/>
              <w:jc w:val="both"/>
              <w:rPr>
                <w:rFonts w:ascii="Century Gothic" w:hAnsi="Century Gothic"/>
                <w:sz w:val="20"/>
                <w:szCs w:val="20"/>
              </w:rPr>
            </w:pPr>
            <w:r>
              <w:rPr>
                <w:rFonts w:ascii="Century Gothic" w:eastAsia="Times New Roman" w:hAnsi="Century Gothic" w:cstheme="minorHAnsi"/>
                <w:b/>
              </w:rPr>
              <w:t xml:space="preserve">INFORME CONFORMIDAD </w:t>
            </w:r>
            <w:r>
              <w:rPr>
                <w:rFonts w:ascii="Century Gothic" w:eastAsia="Times New Roman" w:hAnsi="Century Gothic" w:cstheme="minorHAnsi"/>
              </w:rPr>
              <w:t>por parte del Administrador de la orden de compra por el bien recibido.</w:t>
            </w:r>
          </w:p>
        </w:tc>
      </w:tr>
      <w:tr w:rsidR="00706895" w:rsidRPr="005E3E04" w14:paraId="250DA937" w14:textId="77777777" w:rsidTr="007F5615">
        <w:trPr>
          <w:trHeight w:val="423"/>
        </w:trPr>
        <w:tc>
          <w:tcPr>
            <w:tcW w:w="3941" w:type="dxa"/>
            <w:gridSpan w:val="3"/>
            <w:shd w:val="clear" w:color="auto" w:fill="E7B3E3"/>
            <w:vAlign w:val="center"/>
          </w:tcPr>
          <w:p w14:paraId="2C883505" w14:textId="77777777" w:rsidR="00706895" w:rsidRPr="005E3E04" w:rsidRDefault="00706895" w:rsidP="00706895">
            <w:pPr>
              <w:rPr>
                <w:rFonts w:ascii="Century Gothic" w:hAnsi="Century Gothic"/>
                <w:b/>
                <w:sz w:val="20"/>
                <w:szCs w:val="20"/>
              </w:rPr>
            </w:pPr>
            <w:r>
              <w:rPr>
                <w:rFonts w:ascii="Century Gothic" w:hAnsi="Century Gothic"/>
                <w:b/>
                <w:sz w:val="20"/>
                <w:szCs w:val="20"/>
              </w:rPr>
              <w:t>g) Fecha máxima para entrega de facturas:</w:t>
            </w:r>
          </w:p>
          <w:p w14:paraId="0066D0C5" w14:textId="77777777" w:rsidR="00706895" w:rsidRPr="005E3E04" w:rsidRDefault="00706895" w:rsidP="00706895">
            <w:pPr>
              <w:jc w:val="both"/>
              <w:rPr>
                <w:rFonts w:ascii="Century Gothic" w:hAnsi="Century Gothic"/>
                <w:b/>
                <w:sz w:val="20"/>
                <w:szCs w:val="20"/>
              </w:rPr>
            </w:pPr>
            <w:r>
              <w:rPr>
                <w:rFonts w:ascii="Century Gothic" w:hAnsi="Century Gothic"/>
                <w:sz w:val="16"/>
                <w:szCs w:val="20"/>
              </w:rPr>
              <w:t>Consultar al área financiera la fecha hasta la cual se reciben facturas para el trámite de pagos.</w:t>
            </w:r>
          </w:p>
        </w:tc>
        <w:tc>
          <w:tcPr>
            <w:tcW w:w="6423" w:type="dxa"/>
            <w:gridSpan w:val="11"/>
            <w:vAlign w:val="center"/>
          </w:tcPr>
          <w:p w14:paraId="0363C1C7" w14:textId="77777777" w:rsidR="00706895" w:rsidRPr="005E3E04" w:rsidRDefault="00706895" w:rsidP="00706895">
            <w:pPr>
              <w:pStyle w:val="Prrafodelista"/>
              <w:ind w:left="0"/>
              <w:jc w:val="both"/>
              <w:rPr>
                <w:rFonts w:ascii="Century Gothic" w:hAnsi="Century Gothic"/>
                <w:sz w:val="20"/>
                <w:szCs w:val="20"/>
              </w:rPr>
            </w:pPr>
            <w:r>
              <w:rPr>
                <w:rFonts w:ascii="Century Gothic" w:eastAsia="Times New Roman" w:hAnsi="Century Gothic" w:cstheme="minorHAnsi"/>
                <w:szCs w:val="24"/>
              </w:rPr>
              <w:t xml:space="preserve">Entrega </w:t>
            </w:r>
            <w:r>
              <w:rPr>
                <w:rFonts w:ascii="Century Gothic" w:eastAsia="Times New Roman" w:hAnsi="Century Gothic" w:cstheme="minorHAnsi"/>
                <w:b/>
                <w:bCs/>
                <w:szCs w:val="24"/>
              </w:rPr>
              <w:t>TOTAL</w:t>
            </w:r>
            <w:r>
              <w:rPr>
                <w:rFonts w:ascii="Century Gothic" w:eastAsia="Times New Roman" w:hAnsi="Century Gothic" w:cstheme="minorHAnsi"/>
                <w:szCs w:val="24"/>
              </w:rPr>
              <w:t xml:space="preserve"> acorde a la entrega del bien.</w:t>
            </w:r>
          </w:p>
        </w:tc>
      </w:tr>
      <w:tr w:rsidR="00706895" w:rsidRPr="005E3E04" w14:paraId="03D53F94" w14:textId="77777777" w:rsidTr="007F5615">
        <w:trPr>
          <w:trHeight w:val="423"/>
        </w:trPr>
        <w:tc>
          <w:tcPr>
            <w:tcW w:w="3941" w:type="dxa"/>
            <w:gridSpan w:val="3"/>
            <w:shd w:val="clear" w:color="auto" w:fill="E7B3E3"/>
            <w:vAlign w:val="center"/>
          </w:tcPr>
          <w:p w14:paraId="1821747E" w14:textId="77777777" w:rsidR="00706895" w:rsidRPr="005E3E04" w:rsidRDefault="00706895" w:rsidP="00706895">
            <w:pPr>
              <w:rPr>
                <w:rFonts w:ascii="Century Gothic" w:hAnsi="Century Gothic"/>
                <w:b/>
                <w:sz w:val="20"/>
                <w:szCs w:val="20"/>
              </w:rPr>
            </w:pPr>
            <w:r>
              <w:rPr>
                <w:rFonts w:ascii="Century Gothic" w:hAnsi="Century Gothic"/>
                <w:b/>
                <w:sz w:val="20"/>
                <w:szCs w:val="20"/>
              </w:rPr>
              <w:lastRenderedPageBreak/>
              <w:t>h) Multas:</w:t>
            </w:r>
          </w:p>
          <w:p w14:paraId="567EBA56" w14:textId="77777777" w:rsidR="00706895" w:rsidRPr="005E3E04" w:rsidRDefault="00706895" w:rsidP="00706895">
            <w:pPr>
              <w:rPr>
                <w:rFonts w:ascii="Century Gothic" w:hAnsi="Century Gothic"/>
                <w:b/>
                <w:sz w:val="20"/>
                <w:szCs w:val="20"/>
              </w:rPr>
            </w:pPr>
            <w:r>
              <w:rPr>
                <w:rFonts w:ascii="Century Gothic" w:hAnsi="Century Gothic"/>
                <w:sz w:val="16"/>
                <w:szCs w:val="20"/>
              </w:rPr>
              <w:t>(El valor mínimo de la multa diaria por retraso injustificado será el 1x1000, en caso de ser un valor mayor justifique conforme el principio de proporcionalidad establecido en el numeral 6 del Art. 76 de la Constitución de la República del Ecuador)</w:t>
            </w:r>
          </w:p>
        </w:tc>
        <w:tc>
          <w:tcPr>
            <w:tcW w:w="6423" w:type="dxa"/>
            <w:gridSpan w:val="11"/>
            <w:vAlign w:val="center"/>
          </w:tcPr>
          <w:p w14:paraId="56BF4C0C" w14:textId="3A1FC6E9" w:rsidR="00706895" w:rsidRPr="005E3E04" w:rsidRDefault="0022564C" w:rsidP="00706895">
            <w:pPr>
              <w:pStyle w:val="Prrafodelista"/>
              <w:ind w:left="0"/>
              <w:jc w:val="both"/>
              <w:rPr>
                <w:rFonts w:ascii="Century Gothic" w:eastAsia="Times New Roman" w:hAnsi="Century Gothic" w:cstheme="minorHAnsi"/>
                <w:sz w:val="24"/>
                <w:szCs w:val="24"/>
              </w:rPr>
            </w:pPr>
            <w:r>
              <w:rPr>
                <w:rFonts w:ascii="Century Gothic" w:hAnsi="Century Gothic"/>
                <w:spacing w:val="-2"/>
                <w:szCs w:val="24"/>
                <w:lang w:eastAsia="hi-IN" w:bidi="hi-IN"/>
              </w:rPr>
              <w:t xml:space="preserve">Se aplicará de conformidad a lo previsto con el inciso 3 del Art. 375 del Reglamento a la Ley Orgánica del Sistema Nacional de Contratación Pública. </w:t>
            </w:r>
          </w:p>
        </w:tc>
      </w:tr>
      <w:tr w:rsidR="00706895" w:rsidRPr="005E3E04" w14:paraId="05A96781" w14:textId="77777777" w:rsidTr="00E43720">
        <w:trPr>
          <w:trHeight w:val="423"/>
        </w:trPr>
        <w:tc>
          <w:tcPr>
            <w:tcW w:w="3941" w:type="dxa"/>
            <w:gridSpan w:val="3"/>
            <w:tcBorders>
              <w:bottom w:val="single" w:sz="4" w:space="0" w:color="auto"/>
            </w:tcBorders>
            <w:shd w:val="clear" w:color="auto" w:fill="E7B3E3"/>
            <w:vAlign w:val="center"/>
          </w:tcPr>
          <w:p w14:paraId="26F4D4BA" w14:textId="77777777" w:rsidR="00706895" w:rsidRPr="005E3E04" w:rsidRDefault="00706895" w:rsidP="00706895">
            <w:pPr>
              <w:rPr>
                <w:rFonts w:ascii="Century Gothic" w:hAnsi="Century Gothic"/>
                <w:b/>
                <w:sz w:val="20"/>
                <w:szCs w:val="20"/>
              </w:rPr>
            </w:pPr>
            <w:r>
              <w:rPr>
                <w:rFonts w:ascii="Century Gothic" w:hAnsi="Century Gothic"/>
                <w:b/>
                <w:sz w:val="20"/>
                <w:szCs w:val="20"/>
              </w:rPr>
              <w:t>TIEMPO DE PUBLICACIÓN PARA ESTUDIO DE MERCADO</w:t>
            </w:r>
          </w:p>
        </w:tc>
        <w:tc>
          <w:tcPr>
            <w:tcW w:w="6423" w:type="dxa"/>
            <w:gridSpan w:val="11"/>
            <w:tcBorders>
              <w:bottom w:val="single" w:sz="4" w:space="0" w:color="auto"/>
            </w:tcBorders>
            <w:vAlign w:val="center"/>
          </w:tcPr>
          <w:p w14:paraId="1991B3BF" w14:textId="20C95E0F" w:rsidR="00706895" w:rsidRPr="005E3E04" w:rsidRDefault="00706895" w:rsidP="00706895">
            <w:pPr>
              <w:pStyle w:val="Prrafodelista"/>
              <w:ind w:left="0"/>
              <w:jc w:val="both"/>
              <w:rPr>
                <w:rFonts w:ascii="Century Gothic" w:eastAsia="Times New Roman" w:hAnsi="Century Gothic" w:cstheme="minorHAnsi"/>
                <w:sz w:val="24"/>
                <w:szCs w:val="24"/>
              </w:rPr>
            </w:pPr>
            <w:r>
              <w:rPr>
                <w:rFonts w:ascii="Century Gothic" w:eastAsia="Times New Roman" w:hAnsi="Century Gothic" w:cstheme="minorHAnsi"/>
                <w:szCs w:val="24"/>
              </w:rPr>
              <w:t>Publicarse en el portal del micrositio del SERCOP “NECESIDADES DE CONTRATACIÓN Y RECEPCIÓN DE PROFORMAS”</w:t>
            </w:r>
          </w:p>
        </w:tc>
      </w:tr>
      <w:tr w:rsidR="00147C93" w:rsidRPr="005E3E04" w14:paraId="267EF41B" w14:textId="77777777" w:rsidTr="00965337">
        <w:tc>
          <w:tcPr>
            <w:tcW w:w="10364" w:type="dxa"/>
            <w:gridSpan w:val="14"/>
            <w:tcBorders>
              <w:left w:val="single" w:sz="4" w:space="0" w:color="auto"/>
              <w:right w:val="single" w:sz="4" w:space="0" w:color="auto"/>
            </w:tcBorders>
            <w:shd w:val="clear" w:color="auto" w:fill="E7B3E3"/>
          </w:tcPr>
          <w:p w14:paraId="578BBA82" w14:textId="4030B6C1" w:rsidR="00147C93" w:rsidRPr="00965337" w:rsidRDefault="00147C93" w:rsidP="00E43720">
            <w:pPr>
              <w:rPr>
                <w:rFonts w:ascii="Century Gothic" w:eastAsia="Times New Roman" w:hAnsi="Century Gothic"/>
                <w:b/>
                <w:bCs/>
                <w:sz w:val="30"/>
                <w:szCs w:val="30"/>
                <w:lang w:eastAsia="es-ES"/>
              </w:rPr>
            </w:pPr>
            <w:r>
              <w:rPr>
                <w:rFonts w:ascii="Century Gothic" w:eastAsia="Times New Roman" w:hAnsi="Century Gothic"/>
                <w:b/>
                <w:bCs/>
                <w:sz w:val="30"/>
                <w:szCs w:val="30"/>
                <w:lang w:eastAsia="es-ES"/>
              </w:rPr>
              <w:t xml:space="preserve">17. Obligaciones de las partes</w:t>
            </w:r>
          </w:p>
        </w:tc>
      </w:tr>
      <w:tr w:rsidR="00147C93" w:rsidRPr="005E3E04" w14:paraId="160AB686" w14:textId="77777777" w:rsidTr="003B2A50">
        <w:tc>
          <w:tcPr>
            <w:tcW w:w="10364" w:type="dxa"/>
            <w:gridSpan w:val="14"/>
            <w:tcBorders>
              <w:left w:val="single" w:sz="4" w:space="0" w:color="auto"/>
              <w:right w:val="single" w:sz="4" w:space="0" w:color="auto"/>
            </w:tcBorders>
            <w:shd w:val="clear" w:color="auto" w:fill="FFFFFF" w:themeFill="background1"/>
          </w:tcPr>
          <w:p w14:paraId="45ABF92C" w14:textId="22F64361" w:rsidR="003B2A50" w:rsidRPr="004B07A7" w:rsidRDefault="003B2A50" w:rsidP="004B07A7">
            <w:pPr>
              <w:spacing w:before="360" w:after="120"/>
              <w:jc w:val="both"/>
              <w:rPr>
                <w:rFonts w:ascii="Century Gothic" w:hAnsi="Century Gothic" w:cs="Courier New"/>
                <w:b/>
                <w:bCs/>
              </w:rPr>
            </w:pPr>
            <w:r>
              <w:rPr>
                <w:rFonts w:ascii="Century Gothic" w:hAnsi="Century Gothic" w:cs="Courier New"/>
                <w:b/>
                <w:bCs/>
              </w:rPr>
              <w:t xml:space="preserve">OBLIGACIONES DEL CONTRATISTA </w:t>
            </w:r>
          </w:p>
          <w:p w14:paraId="7182D643" w14:textId="77777777" w:rsidR="003B2A50" w:rsidRPr="001F1646" w:rsidRDefault="003B2A50" w:rsidP="003B2A50">
            <w:pPr>
              <w:pStyle w:val="Prrafodelista"/>
              <w:spacing w:before="360" w:after="120"/>
              <w:ind w:left="825"/>
              <w:jc w:val="both"/>
              <w:rPr>
                <w:rFonts w:ascii="Century Gothic" w:hAnsi="Century Gothic" w:cs="Courier New"/>
                <w:b/>
                <w:bCs/>
              </w:rPr>
            </w:pPr>
          </w:p>
          <w:p w14:paraId="4362BAE8" w14:textId="1A9B501A" w:rsidR="003B2A50" w:rsidRPr="00DC0440" w:rsidRDefault="003B2A50" w:rsidP="00DC0440">
            <w:pPr>
              <w:pStyle w:val="Prrafodelista"/>
              <w:numPr>
                <w:ilvl w:val="0"/>
                <w:numId w:val="16"/>
              </w:numPr>
              <w:spacing w:before="240" w:after="240" w:line="360" w:lineRule="auto"/>
              <w:jc w:val="both"/>
              <w:rPr>
                <w:rFonts w:ascii="Century Gothic" w:hAnsi="Century Gothic" w:cs="Courier New"/>
                <w:b/>
                <w:bCs/>
              </w:rPr>
            </w:pPr>
            <w:r>
              <w:rPr>
                <w:rFonts w:ascii="Century Gothic" w:hAnsi="Century Gothic" w:cs="Courier New"/>
              </w:rPr>
              <w:t>Cubrir todas las actividades y costos necesarios de cualquier otro gasto adicional dentro del valor presupuestado que presente para cumplir a cabalidad y sin dilaciones con el objeto contractual u otros costos adicionales que se presenten durante la ejecución de la orden de compra/contrato que se genere;</w:t>
            </w:r>
            <w:r>
              <w:rPr>
                <w:rFonts w:ascii="Century Gothic" w:hAnsi="Century Gothic"/>
              </w:rPr>
              <w:t xml:space="preserve"> </w:t>
            </w:r>
            <w:r>
              <w:rPr>
                <w:rFonts w:ascii="Century Gothic" w:hAnsi="Century Gothic" w:cs="Courier New"/>
              </w:rPr>
              <w:t>en transporte, viáticos, cambio de equipo por fallas, ni movilizaciones de personal técnico del contratista ya que la entidad no pagara ningún otro que deriven de este.</w:t>
            </w:r>
          </w:p>
          <w:p w14:paraId="3DA925C8" w14:textId="51BBE1AB" w:rsidR="003B2A50" w:rsidRPr="001F1646" w:rsidRDefault="003B2A50" w:rsidP="00DC0440">
            <w:pPr>
              <w:pStyle w:val="Prrafodelista"/>
              <w:numPr>
                <w:ilvl w:val="0"/>
                <w:numId w:val="16"/>
              </w:numPr>
              <w:spacing w:after="120" w:line="276" w:lineRule="auto"/>
              <w:contextualSpacing w:val="0"/>
              <w:jc w:val="both"/>
              <w:rPr>
                <w:rFonts w:ascii="Century Gothic" w:hAnsi="Century Gothic"/>
              </w:rPr>
            </w:pPr>
            <w:r>
              <w:rPr>
                <w:rFonts w:ascii="Century Gothic" w:hAnsi="Century Gothic"/>
              </w:rPr>
              <w:t>Cumplir con las leyes y regulaciones aplicables en relación con la privacidad de los datos, protección de la información personal y otros requisitos legales relevantes.</w:t>
            </w:r>
          </w:p>
          <w:p w14:paraId="1D1B38C8" w14:textId="7C0AADF8" w:rsidR="003B2A50" w:rsidRPr="001F1646" w:rsidRDefault="003B2A50" w:rsidP="00DC0440">
            <w:pPr>
              <w:pStyle w:val="Prrafodelista"/>
              <w:numPr>
                <w:ilvl w:val="0"/>
                <w:numId w:val="16"/>
              </w:numPr>
              <w:spacing w:before="360" w:after="120" w:line="276" w:lineRule="auto"/>
              <w:contextualSpacing w:val="0"/>
              <w:jc w:val="both"/>
              <w:rPr>
                <w:rFonts w:ascii="Century Gothic" w:hAnsi="Century Gothic"/>
              </w:rPr>
            </w:pPr>
            <w:r>
              <w:rPr>
                <w:rFonts w:ascii="Century Gothic" w:hAnsi="Century Gothic"/>
              </w:rPr>
              <w:t xml:space="preserve">Cumplir con las/los términos de referencia establecidos en este documento elaborado por la entidad contratante. </w:t>
            </w:r>
          </w:p>
          <w:p w14:paraId="385E234E" w14:textId="441E69EA" w:rsidR="003B2A50" w:rsidRDefault="003B2A50" w:rsidP="00DC0440">
            <w:pPr>
              <w:pStyle w:val="Prrafodelista"/>
              <w:numPr>
                <w:ilvl w:val="0"/>
                <w:numId w:val="16"/>
              </w:numPr>
              <w:spacing w:before="360" w:after="120" w:line="276" w:lineRule="auto"/>
              <w:contextualSpacing w:val="0"/>
              <w:jc w:val="both"/>
              <w:rPr>
                <w:rFonts w:ascii="Century Gothic" w:hAnsi="Century Gothic"/>
                <w:highlight w:val="yellow"/>
              </w:rPr>
            </w:pPr>
            <w:r>
              <w:rPr>
                <w:rFonts w:ascii="Century Gothic" w:hAnsi="Century Gothic"/>
                <w:highlight w:val="yellow"/>
              </w:rPr>
              <w:t>El contratista deberá coordinar con el Administrador de Contrato, el horario para realizar las correspondientes pruebas de activación del servicio, con el fin de no interrumpir las actividades que brinda la Institución. La Entidad contratante brindará todas las facilidades de acceso y permisos necesarios dentro de la jornada laboral (08h00 – 17h00), para su efecto.</w:t>
            </w:r>
          </w:p>
          <w:p w14:paraId="009AC253" w14:textId="3456FA3D" w:rsidR="00FF499A" w:rsidRPr="004B07A7" w:rsidRDefault="00FF499A" w:rsidP="004B07A7">
            <w:pPr>
              <w:spacing w:before="360" w:after="120"/>
              <w:jc w:val="both"/>
              <w:rPr>
                <w:rFonts w:ascii="Century Gothic" w:hAnsi="Century Gothic" w:cs="Courier New"/>
                <w:b/>
                <w:bCs/>
              </w:rPr>
            </w:pPr>
            <w:r>
              <w:rPr>
                <w:rFonts w:ascii="Century Gothic" w:hAnsi="Century Gothic" w:cs="Courier New"/>
                <w:b/>
                <w:bCs/>
              </w:rPr>
              <w:t>OBLIGACIONES DE LA ENTIDAD CONTRATANTE</w:t>
            </w:r>
          </w:p>
          <w:p w14:paraId="07CAD001" w14:textId="77777777" w:rsidR="004B07A7" w:rsidRPr="00FF499A" w:rsidRDefault="004B07A7" w:rsidP="004B07A7">
            <w:pPr>
              <w:pStyle w:val="Prrafodelista"/>
              <w:spacing w:before="360" w:after="120"/>
              <w:ind w:left="420"/>
              <w:jc w:val="both"/>
              <w:rPr>
                <w:rFonts w:ascii="Century Gothic" w:hAnsi="Century Gothic" w:cs="Courier New"/>
                <w:b/>
                <w:bCs/>
              </w:rPr>
            </w:pPr>
          </w:p>
          <w:p w14:paraId="2926556D" w14:textId="3D7D12BD" w:rsidR="00FF499A" w:rsidRPr="00EA64FB" w:rsidRDefault="004B07A7" w:rsidP="00573945">
            <w:pPr>
              <w:pStyle w:val="Prrafodelista"/>
              <w:numPr>
                <w:ilvl w:val="0"/>
                <w:numId w:val="15"/>
              </w:numPr>
              <w:spacing w:before="360" w:after="120" w:line="276" w:lineRule="auto"/>
              <w:jc w:val="both"/>
              <w:rPr>
                <w:rFonts w:ascii="Century Gothic" w:hAnsi="Century Gothic"/>
                <w:highlight w:val="yellow"/>
              </w:rPr>
            </w:pPr>
            <w:r>
              <w:rPr>
                <w:rFonts w:ascii="Century Gothic" w:hAnsi="Century Gothic"/>
              </w:rPr>
              <w:t>Dar solución a las peticiones que se presenten en la ejecución del contrato dentro del término de 5 días máximo.</w:t>
            </w:r>
          </w:p>
          <w:p w14:paraId="1D77BFED" w14:textId="77777777" w:rsidR="00147C93" w:rsidRPr="00965337" w:rsidRDefault="00147C93" w:rsidP="00E43720">
            <w:pPr>
              <w:rPr>
                <w:rFonts w:ascii="Century Gothic" w:eastAsia="Times New Roman" w:hAnsi="Century Gothic"/>
                <w:b/>
                <w:bCs/>
                <w:sz w:val="30"/>
                <w:szCs w:val="30"/>
                <w:lang w:eastAsia="es-ES"/>
              </w:rPr>
            </w:pPr>
          </w:p>
        </w:tc>
      </w:tr>
      <w:tr w:rsidR="00561077" w:rsidRPr="005E3E04" w14:paraId="5AD23454" w14:textId="77777777" w:rsidTr="00965337">
        <w:tc>
          <w:tcPr>
            <w:tcW w:w="10364" w:type="dxa"/>
            <w:gridSpan w:val="14"/>
            <w:tcBorders>
              <w:left w:val="single" w:sz="4" w:space="0" w:color="auto"/>
              <w:right w:val="single" w:sz="4" w:space="0" w:color="auto"/>
            </w:tcBorders>
            <w:shd w:val="clear" w:color="auto" w:fill="E7B3E3"/>
          </w:tcPr>
          <w:p w14:paraId="48901714" w14:textId="5054AA93" w:rsidR="00561077" w:rsidRPr="00965337" w:rsidRDefault="00561077" w:rsidP="00E43720">
            <w:pPr>
              <w:rPr>
                <w:rFonts w:ascii="Century Gothic" w:eastAsia="Times New Roman" w:hAnsi="Century Gothic"/>
                <w:b/>
                <w:bCs/>
                <w:sz w:val="30"/>
                <w:szCs w:val="30"/>
                <w:lang w:eastAsia="es-ES"/>
              </w:rPr>
            </w:pPr>
            <w:r>
              <w:rPr>
                <w:rFonts w:ascii="Century Gothic" w:eastAsia="Times New Roman" w:hAnsi="Century Gothic"/>
                <w:b/>
                <w:bCs/>
                <w:sz w:val="30"/>
                <w:szCs w:val="30"/>
                <w:lang w:eastAsia="es-ES"/>
              </w:rPr>
              <w:t xml:space="preserve">18. Garantía</w:t>
            </w:r>
          </w:p>
        </w:tc>
      </w:tr>
      <w:tr w:rsidR="00561077" w:rsidRPr="005E3E04" w14:paraId="7D9BA09D" w14:textId="77777777" w:rsidTr="00561077">
        <w:tc>
          <w:tcPr>
            <w:tcW w:w="10364" w:type="dxa"/>
            <w:gridSpan w:val="14"/>
            <w:tcBorders>
              <w:left w:val="single" w:sz="4" w:space="0" w:color="auto"/>
              <w:right w:val="single" w:sz="4" w:space="0" w:color="auto"/>
            </w:tcBorders>
            <w:shd w:val="clear" w:color="auto" w:fill="FFFFFF" w:themeFill="background1"/>
          </w:tcPr>
          <w:p w14:paraId="5BD659A1" w14:textId="77777777" w:rsidR="004F1192" w:rsidRPr="001F1646" w:rsidRDefault="004F1192" w:rsidP="004F1192">
            <w:pPr>
              <w:spacing w:line="360" w:lineRule="auto"/>
              <w:jc w:val="both"/>
              <w:rPr>
                <w:rFonts w:ascii="Century Gothic" w:eastAsia="Times New Roman" w:hAnsi="Century Gothic" w:cs="Calibri"/>
                <w:color w:val="000000"/>
              </w:rPr>
            </w:pPr>
            <w:r>
              <w:rPr>
                <w:rFonts w:ascii="Century Gothic" w:eastAsia="Times New Roman" w:hAnsi="Century Gothic" w:cs="Calibri"/>
                <w:color w:val="000000"/>
              </w:rPr>
              <w:t xml:space="preserve">De acuerdo al objeto de la contratación y a lo establecido en los artículos 85, 86 Y 87 de la Ley Orgánica del Sistema Nacional de Contratación Pública, en concordancia con el Art. 350 del </w:t>
              <w:lastRenderedPageBreak/>
              <w:t xml:space="preserve">Reglamento Ibidem, se pueden establecer garantía de fiel cumplimiento, garantía por anticipo y garantía técnica. En el presente procedimiento se requerirá la presentación de la siguiente garantía:</w:t>
            </w:r>
          </w:p>
          <w:p w14:paraId="71204247" w14:textId="101B3E86" w:rsidR="00561077" w:rsidRPr="00965337" w:rsidRDefault="004F1192" w:rsidP="004F1192">
            <w:pPr>
              <w:rPr>
                <w:rFonts w:ascii="Century Gothic" w:eastAsia="Times New Roman" w:hAnsi="Century Gothic"/>
                <w:b/>
                <w:bCs/>
                <w:sz w:val="30"/>
                <w:szCs w:val="30"/>
                <w:lang w:eastAsia="es-ES"/>
              </w:rPr>
            </w:pPr>
            <w:r>
              <w:rPr>
                <w:rFonts w:ascii="Century Gothic" w:hAnsi="Century Gothic"/>
                <w:bCs/>
                <w:highlight w:val="yellow"/>
              </w:rPr>
              <w:t xml:space="preserve">INDICAR QUE TIPO DE GARANTÍA SE REQUIERE PARA EL BIEN</w:t>
            </w:r>
          </w:p>
        </w:tc>
      </w:tr>
      <w:tr w:rsidR="00573945" w:rsidRPr="005E3E04" w14:paraId="4A0BA152" w14:textId="77777777" w:rsidTr="00237457">
        <w:tc>
          <w:tcPr>
            <w:tcW w:w="10364" w:type="dxa"/>
            <w:gridSpan w:val="14"/>
            <w:tcBorders>
              <w:left w:val="single" w:sz="4" w:space="0" w:color="auto"/>
              <w:right w:val="single" w:sz="4" w:space="0" w:color="auto"/>
            </w:tcBorders>
            <w:shd w:val="clear" w:color="auto" w:fill="E7B3E3"/>
          </w:tcPr>
          <w:p w14:paraId="5F6BEA62" w14:textId="11596E36" w:rsidR="00573945" w:rsidRPr="001F1646" w:rsidRDefault="00573945" w:rsidP="004F1192">
            <w:pPr>
              <w:spacing w:line="360" w:lineRule="auto"/>
              <w:jc w:val="both"/>
              <w:rPr>
                <w:rFonts w:ascii="Century Gothic" w:eastAsia="Times New Roman" w:hAnsi="Century Gothic" w:cs="Calibri"/>
                <w:color w:val="000000"/>
              </w:rPr>
            </w:pPr>
            <w:r>
              <w:rPr>
                <w:rFonts w:ascii="Century Gothic" w:eastAsia="Times New Roman" w:hAnsi="Century Gothic"/>
                <w:b/>
                <w:bCs/>
                <w:sz w:val="30"/>
                <w:szCs w:val="30"/>
                <w:lang w:eastAsia="es-ES"/>
              </w:rPr>
              <w:lastRenderedPageBreak/>
              <w:t xml:space="preserve">19. Término para presentación de Oferta </w:t>
            </w:r>
            <w:r>
              <w:rPr>
                <w:rFonts w:ascii="Century Gothic" w:eastAsia="Times New Roman" w:hAnsi="Century Gothic"/>
                <w:b/>
                <w:bCs/>
                <w:sz w:val="18"/>
                <w:szCs w:val="30"/>
                <w:lang w:eastAsia="es-ES"/>
              </w:rPr>
              <w:t>(Art. 96 RLOSNCP)</w:t>
            </w:r>
          </w:p>
        </w:tc>
      </w:tr>
      <w:tr w:rsidR="00573945" w:rsidRPr="005E3E04" w14:paraId="05773DAD" w14:textId="77777777" w:rsidTr="00561077">
        <w:tc>
          <w:tcPr>
            <w:tcW w:w="10364" w:type="dxa"/>
            <w:gridSpan w:val="14"/>
            <w:tcBorders>
              <w:left w:val="single" w:sz="4" w:space="0" w:color="auto"/>
              <w:right w:val="single" w:sz="4" w:space="0" w:color="auto"/>
            </w:tcBorders>
            <w:shd w:val="clear" w:color="auto" w:fill="FFFFFF" w:themeFill="background1"/>
          </w:tcPr>
          <w:p w14:paraId="3B3899F6" w14:textId="51636489" w:rsidR="00573945" w:rsidRPr="001F1646" w:rsidRDefault="00573945" w:rsidP="004F1192">
            <w:pPr>
              <w:spacing w:line="360" w:lineRule="auto"/>
              <w:jc w:val="both"/>
              <w:rPr>
                <w:rFonts w:ascii="Century Gothic" w:eastAsia="Times New Roman" w:hAnsi="Century Gothic" w:cs="Calibri"/>
                <w:color w:val="000000"/>
              </w:rPr>
            </w:pPr>
          </w:p>
        </w:tc>
      </w:tr>
      <w:tr w:rsidR="00E43720" w:rsidRPr="005E3E04" w14:paraId="7E128F6C" w14:textId="77777777" w:rsidTr="00965337">
        <w:tc>
          <w:tcPr>
            <w:tcW w:w="10364" w:type="dxa"/>
            <w:gridSpan w:val="14"/>
            <w:tcBorders>
              <w:left w:val="single" w:sz="4" w:space="0" w:color="auto"/>
              <w:right w:val="single" w:sz="4" w:space="0" w:color="auto"/>
            </w:tcBorders>
            <w:shd w:val="clear" w:color="auto" w:fill="E7B3E3"/>
          </w:tcPr>
          <w:p w14:paraId="6CF7EB80" w14:textId="46D75CA5" w:rsidR="00E43720" w:rsidRPr="00965337" w:rsidRDefault="00A67A99" w:rsidP="00E43720">
            <w:pPr>
              <w:rPr>
                <w:rFonts w:ascii="Century Gothic" w:hAnsi="Century Gothic" w:cs="Arial"/>
                <w:b/>
                <w:sz w:val="30"/>
                <w:szCs w:val="30"/>
              </w:rPr>
            </w:pPr>
            <w:r>
              <w:rPr>
                <w:rFonts w:ascii="Century Gothic" w:eastAsia="Times New Roman" w:hAnsi="Century Gothic"/>
                <w:b/>
                <w:bCs/>
                <w:sz w:val="30"/>
                <w:szCs w:val="30"/>
                <w:lang w:eastAsia="es-ES"/>
              </w:rPr>
              <w:t xml:space="preserve">20. Vigencia de la Oferta</w:t>
            </w:r>
          </w:p>
        </w:tc>
      </w:tr>
      <w:tr w:rsidR="00E43720" w:rsidRPr="005E3E04" w14:paraId="2F05886F" w14:textId="77777777" w:rsidTr="00E43720">
        <w:tc>
          <w:tcPr>
            <w:tcW w:w="10364" w:type="dxa"/>
            <w:gridSpan w:val="14"/>
            <w:tcBorders>
              <w:left w:val="single" w:sz="4" w:space="0" w:color="auto"/>
              <w:right w:val="single" w:sz="4" w:space="0" w:color="auto"/>
            </w:tcBorders>
            <w:shd w:val="clear" w:color="auto" w:fill="auto"/>
          </w:tcPr>
          <w:p w14:paraId="2AA8F681" w14:textId="1BB5F87F" w:rsidR="00E43720" w:rsidRPr="00965337" w:rsidRDefault="00965337" w:rsidP="00965337">
            <w:pPr>
              <w:rPr>
                <w:rFonts w:ascii="Century Gothic" w:hAnsi="Century Gothic" w:cs="Arial"/>
                <w:b/>
                <w:sz w:val="18"/>
                <w:szCs w:val="18"/>
              </w:rPr>
            </w:pPr>
            <w:r>
              <w:rPr>
                <w:rFonts w:ascii="Century Gothic" w:hAnsi="Century Gothic"/>
                <w:sz w:val="18"/>
                <w:szCs w:val="18"/>
              </w:rPr>
              <w:t xml:space="preserve">Las ofertas se entenderán vigentes por el periodo mínimo de </w:t>
            </w:r>
            <w:r>
              <w:rPr>
                <w:rFonts w:ascii="Century Gothic" w:hAnsi="Century Gothic"/>
                <w:b/>
                <w:bCs/>
                <w:sz w:val="18"/>
                <w:szCs w:val="18"/>
              </w:rPr>
              <w:t>30 (TREINTA) DÍAS</w:t>
            </w:r>
            <w:r>
              <w:rPr>
                <w:rFonts w:ascii="Century Gothic" w:hAnsi="Century Gothic"/>
                <w:sz w:val="18"/>
                <w:szCs w:val="18"/>
              </w:rPr>
              <w:t xml:space="preserve"> de acuerdo con lo establecido en el artículo 29 de la LOSNCP.</w:t>
            </w:r>
          </w:p>
        </w:tc>
      </w:tr>
      <w:tr>
        <w:tc>
          <w:tcPr>
            <w:tcW w:w="10364" w:type="dxa"/>
            <w:gridSpan w:val="14"/>
            <w:shd w:val="clear" w:color="auto" w:fill="E7B3E3"/>
          </w:tcPr>
          <w:p>
            <w:pPr>
              <w:jc w:val="both"/>
              <w:rPr>
                <w:rFonts w:ascii="Century Gothic" w:eastAsia="Times New Roman" w:hAnsi="Century Gothic"/>
                <w:b/>
                <w:bCs/>
                <w:sz w:val="28"/>
                <w:szCs w:val="20"/>
                <w:lang w:eastAsia="es-ES"/>
              </w:rPr>
            </w:pPr>
            <w:r>
              <w:rPr>
                <w:rFonts w:ascii="Century Gothic" w:eastAsia="Times New Roman" w:hAnsi="Century Gothic"/>
                <w:b/>
                <w:bCs/>
                <w:sz w:val="28"/>
                <w:szCs w:val="20"/>
                <w:lang w:eastAsia="es-ES"/>
              </w:rPr>
              <w:t xml:space="preserve">19.1 Parámetros de Evaluación y Calificación (Art. 77 numeral 7, literal i) RLOSNCP) </w:t>
            </w:r>
          </w:p>
        </w:tc>
      </w:tr>
      <w:tr>
        <w:tc>
          <w:tcPr>
            <w:tcW w:w="10364" w:type="dxa"/>
            <w:gridSpan w:val="14"/>
          </w:tcPr>
          <w:p>
            <w:pPr>
              <w:rPr>
                <w:rFonts w:ascii="Century Gothic" w:hAnsi="Century Gothic"/>
                <w:highlight w:val="yellow"/>
              </w:rPr>
            </w:pPr>
            <w:r>
              <w:rPr>
                <w:rFonts w:ascii="Century Gothic" w:hAnsi="Century Gothic"/>
                <w:highlight w:val="yellow"/>
              </w:rPr>
              <w:t xml:space="preserve">DETALLAR LOS PARÁMETROS QUE PERMITIRÁN EVALUAR Y CALIFICAR EL CUMPLIMIENTO DEL BIEN OFERTADO Y VERIFICAR EL MEJOR VALOR POR DINERO (P.EJ. CUMPLIMIENTO DE CARACTERÍSTICAS TÉCNICAS, PLAZO DE ENTREGA, GARANTÍA, SERVICIO POSVENTA), CONFORME AL ART. 77 NUMERAL 7 LITERAL I) Y AL ART. 74 DEL REGLAMENTO A LA LOSNCP</w:t>
            </w:r>
          </w:p>
          <w:p>
            <w:pPr>
              <w:rPr>
                <w:rFonts w:ascii="Century Gothic" w:hAnsi="Century Gothic"/>
              </w:rPr>
            </w:pPr>
          </w:p>
        </w:tc>
      </w:tr>
      <w:tr w:rsidR="00706895" w:rsidRPr="005E3E04" w14:paraId="559EE53B" w14:textId="77777777" w:rsidTr="006C1C9B">
        <w:trPr>
          <w:trHeight w:val="375"/>
        </w:trPr>
        <w:tc>
          <w:tcPr>
            <w:tcW w:w="10364" w:type="dxa"/>
            <w:gridSpan w:val="14"/>
            <w:shd w:val="clear" w:color="auto" w:fill="E7B3E3"/>
            <w:vAlign w:val="center"/>
          </w:tcPr>
          <w:p w14:paraId="2C3DB03D" w14:textId="6DBEBAA5" w:rsidR="00706895" w:rsidRPr="005E130C" w:rsidRDefault="00237457" w:rsidP="00706895">
            <w:pPr>
              <w:rPr>
                <w:rFonts w:ascii="Century Gothic" w:hAnsi="Century Gothic" w:cs="Arial"/>
                <w:b/>
                <w:sz w:val="32"/>
                <w:szCs w:val="28"/>
              </w:rPr>
            </w:pPr>
            <w:r>
              <w:rPr>
                <w:rFonts w:ascii="Century Gothic" w:eastAsia="Times New Roman" w:hAnsi="Century Gothic"/>
                <w:b/>
                <w:bCs/>
                <w:sz w:val="32"/>
                <w:szCs w:val="20"/>
                <w:lang w:eastAsia="es-ES"/>
              </w:rPr>
              <w:t>21. Firmas de Responsabilidad de las Especificaciones Técnicas:</w:t>
            </w:r>
          </w:p>
        </w:tc>
      </w:tr>
      <w:tr w:rsidR="00706895" w:rsidRPr="005E3E04" w14:paraId="1D41AB68" w14:textId="77777777" w:rsidTr="00E46741">
        <w:tc>
          <w:tcPr>
            <w:tcW w:w="5246" w:type="dxa"/>
            <w:gridSpan w:val="5"/>
            <w:shd w:val="clear" w:color="auto" w:fill="auto"/>
          </w:tcPr>
          <w:p w14:paraId="4BCCF6CD" w14:textId="77777777" w:rsidR="00706895" w:rsidRPr="005E3E04" w:rsidRDefault="00706895" w:rsidP="00706895">
            <w:pPr>
              <w:rPr>
                <w:rFonts w:ascii="Century Gothic" w:eastAsia="Times New Roman" w:hAnsi="Century Gothic"/>
                <w:b/>
                <w:bCs/>
                <w:sz w:val="28"/>
                <w:szCs w:val="20"/>
                <w:lang w:eastAsia="es-ES"/>
              </w:rPr>
            </w:pPr>
          </w:p>
          <w:p w14:paraId="112505AB" w14:textId="77777777" w:rsidR="00706895" w:rsidRPr="005E3E04" w:rsidRDefault="00706895" w:rsidP="00706895">
            <w:pPr>
              <w:rPr>
                <w:rFonts w:ascii="Century Gothic" w:eastAsia="Times New Roman" w:hAnsi="Century Gothic"/>
                <w:b/>
                <w:bCs/>
                <w:sz w:val="28"/>
                <w:szCs w:val="20"/>
                <w:lang w:eastAsia="es-ES"/>
              </w:rPr>
            </w:pPr>
          </w:p>
          <w:p w14:paraId="545739E0" w14:textId="77777777" w:rsidR="00706895" w:rsidRPr="005E3E04" w:rsidRDefault="00706895" w:rsidP="00706895">
            <w:pPr>
              <w:rPr>
                <w:rFonts w:ascii="Century Gothic" w:eastAsia="Times New Roman" w:hAnsi="Century Gothic"/>
                <w:b/>
                <w:bCs/>
                <w:sz w:val="28"/>
                <w:szCs w:val="20"/>
                <w:lang w:eastAsia="es-ES"/>
              </w:rPr>
            </w:pPr>
          </w:p>
          <w:p w14:paraId="31542E87" w14:textId="77777777" w:rsidR="00706895" w:rsidRPr="005E3E04" w:rsidRDefault="00706895" w:rsidP="00706895">
            <w:pPr>
              <w:rPr>
                <w:rFonts w:ascii="Century Gothic" w:eastAsia="Times New Roman" w:hAnsi="Century Gothic"/>
                <w:b/>
                <w:bCs/>
                <w:sz w:val="28"/>
                <w:szCs w:val="20"/>
                <w:lang w:eastAsia="es-ES"/>
              </w:rPr>
            </w:pPr>
          </w:p>
        </w:tc>
        <w:tc>
          <w:tcPr>
            <w:tcW w:w="5118" w:type="dxa"/>
            <w:gridSpan w:val="9"/>
            <w:shd w:val="clear" w:color="auto" w:fill="auto"/>
          </w:tcPr>
          <w:p w14:paraId="0589B6F4" w14:textId="77777777" w:rsidR="00706895" w:rsidRPr="005E3E04" w:rsidRDefault="00706895" w:rsidP="00706895">
            <w:pPr>
              <w:rPr>
                <w:rFonts w:ascii="Century Gothic" w:eastAsia="Times New Roman" w:hAnsi="Century Gothic"/>
                <w:b/>
                <w:bCs/>
                <w:sz w:val="28"/>
                <w:szCs w:val="20"/>
                <w:lang w:eastAsia="es-ES"/>
              </w:rPr>
            </w:pPr>
          </w:p>
          <w:p w14:paraId="0F3C742D" w14:textId="77777777" w:rsidR="00706895" w:rsidRPr="005E3E04" w:rsidRDefault="00706895" w:rsidP="00706895">
            <w:pPr>
              <w:rPr>
                <w:rFonts w:ascii="Century Gothic" w:eastAsia="Times New Roman" w:hAnsi="Century Gothic"/>
                <w:b/>
                <w:bCs/>
                <w:sz w:val="28"/>
                <w:szCs w:val="20"/>
                <w:lang w:eastAsia="es-ES"/>
              </w:rPr>
            </w:pPr>
          </w:p>
        </w:tc>
      </w:tr>
      <w:tr w:rsidR="00706895" w:rsidRPr="005E3E04" w14:paraId="66D64C4A" w14:textId="77777777" w:rsidTr="006C1C9B">
        <w:trPr>
          <w:trHeight w:val="340"/>
        </w:trPr>
        <w:tc>
          <w:tcPr>
            <w:tcW w:w="2524" w:type="dxa"/>
            <w:shd w:val="clear" w:color="auto" w:fill="E7B3E3"/>
            <w:vAlign w:val="center"/>
          </w:tcPr>
          <w:p w14:paraId="7B596C13" w14:textId="77777777" w:rsidR="00706895" w:rsidRPr="005E3E04" w:rsidRDefault="00706895" w:rsidP="00706895">
            <w:pPr>
              <w:rPr>
                <w:rFonts w:ascii="Century Gothic" w:eastAsia="Times New Roman" w:hAnsi="Century Gothic"/>
                <w:b/>
                <w:bCs/>
                <w:sz w:val="20"/>
                <w:szCs w:val="20"/>
                <w:lang w:eastAsia="es-ES"/>
              </w:rPr>
            </w:pPr>
            <w:r>
              <w:rPr>
                <w:rFonts w:ascii="Century Gothic" w:eastAsia="Times New Roman" w:hAnsi="Century Gothic"/>
                <w:b/>
                <w:bCs/>
                <w:sz w:val="20"/>
                <w:szCs w:val="20"/>
                <w:lang w:eastAsia="es-ES"/>
              </w:rPr>
              <w:t>Elaborado por:</w:t>
            </w:r>
          </w:p>
        </w:tc>
        <w:tc>
          <w:tcPr>
            <w:tcW w:w="2722" w:type="dxa"/>
            <w:gridSpan w:val="4"/>
            <w:shd w:val="clear" w:color="auto" w:fill="auto"/>
            <w:vAlign w:val="center"/>
          </w:tcPr>
          <w:p w14:paraId="3094170E" w14:textId="77777777" w:rsidR="00706895" w:rsidRPr="005E3E04" w:rsidRDefault="00706895" w:rsidP="00706895">
            <w:pPr>
              <w:rPr>
                <w:rFonts w:ascii="Century Gothic" w:eastAsia="Times New Roman" w:hAnsi="Century Gothic"/>
                <w:b/>
                <w:bCs/>
                <w:sz w:val="28"/>
                <w:szCs w:val="20"/>
                <w:lang w:eastAsia="es-ES"/>
              </w:rPr>
            </w:pPr>
          </w:p>
        </w:tc>
        <w:tc>
          <w:tcPr>
            <w:tcW w:w="1955" w:type="dxa"/>
            <w:gridSpan w:val="3"/>
            <w:shd w:val="clear" w:color="auto" w:fill="E7B3E3"/>
            <w:vAlign w:val="center"/>
          </w:tcPr>
          <w:p w14:paraId="3C453B32" w14:textId="77777777" w:rsidR="00706895" w:rsidRPr="005E3E04" w:rsidRDefault="00706895" w:rsidP="00706895">
            <w:pPr>
              <w:rPr>
                <w:rFonts w:ascii="Century Gothic" w:eastAsia="Times New Roman" w:hAnsi="Century Gothic"/>
                <w:b/>
                <w:bCs/>
                <w:sz w:val="20"/>
                <w:szCs w:val="20"/>
                <w:lang w:eastAsia="es-ES"/>
              </w:rPr>
            </w:pPr>
            <w:r>
              <w:rPr>
                <w:rFonts w:ascii="Century Gothic" w:eastAsia="Times New Roman" w:hAnsi="Century Gothic"/>
                <w:b/>
                <w:bCs/>
                <w:sz w:val="20"/>
                <w:szCs w:val="20"/>
                <w:lang w:eastAsia="es-ES"/>
              </w:rPr>
              <w:t xml:space="preserve">Revisado por: </w:t>
            </w:r>
          </w:p>
        </w:tc>
        <w:tc>
          <w:tcPr>
            <w:tcW w:w="3163" w:type="dxa"/>
            <w:gridSpan w:val="6"/>
            <w:shd w:val="clear" w:color="auto" w:fill="auto"/>
            <w:vAlign w:val="center"/>
          </w:tcPr>
          <w:p w14:paraId="46FCAF1A" w14:textId="77777777" w:rsidR="00706895" w:rsidRPr="005E3E04" w:rsidRDefault="00706895" w:rsidP="00706895">
            <w:pPr>
              <w:rPr>
                <w:rFonts w:ascii="Century Gothic" w:eastAsia="Times New Roman" w:hAnsi="Century Gothic"/>
                <w:b/>
                <w:bCs/>
                <w:sz w:val="20"/>
                <w:szCs w:val="20"/>
                <w:lang w:eastAsia="es-ES"/>
              </w:rPr>
            </w:pPr>
          </w:p>
        </w:tc>
      </w:tr>
      <w:tr w:rsidR="00706895" w:rsidRPr="005E3E04" w14:paraId="4CDCD625" w14:textId="77777777" w:rsidTr="006C1C9B">
        <w:trPr>
          <w:trHeight w:val="340"/>
        </w:trPr>
        <w:tc>
          <w:tcPr>
            <w:tcW w:w="2524" w:type="dxa"/>
            <w:shd w:val="clear" w:color="auto" w:fill="E7B3E3"/>
            <w:vAlign w:val="center"/>
          </w:tcPr>
          <w:p w14:paraId="4639968A" w14:textId="77777777" w:rsidR="00706895" w:rsidRPr="005E3E04" w:rsidRDefault="00706895" w:rsidP="00706895">
            <w:pPr>
              <w:rPr>
                <w:rFonts w:ascii="Century Gothic" w:eastAsia="Times New Roman" w:hAnsi="Century Gothic"/>
                <w:b/>
                <w:bCs/>
                <w:sz w:val="20"/>
                <w:szCs w:val="20"/>
                <w:lang w:eastAsia="es-ES"/>
              </w:rPr>
            </w:pPr>
            <w:r>
              <w:rPr>
                <w:rFonts w:ascii="Century Gothic" w:eastAsia="Times New Roman" w:hAnsi="Century Gothic"/>
                <w:b/>
                <w:bCs/>
                <w:sz w:val="20"/>
                <w:szCs w:val="20"/>
                <w:lang w:eastAsia="es-ES"/>
              </w:rPr>
              <w:t xml:space="preserve">Cargo: </w:t>
            </w:r>
          </w:p>
        </w:tc>
        <w:tc>
          <w:tcPr>
            <w:tcW w:w="2722" w:type="dxa"/>
            <w:gridSpan w:val="4"/>
            <w:shd w:val="clear" w:color="auto" w:fill="auto"/>
            <w:vAlign w:val="center"/>
          </w:tcPr>
          <w:p w14:paraId="2A50F5F0" w14:textId="77777777" w:rsidR="00706895" w:rsidRPr="005E3E04" w:rsidRDefault="00706895" w:rsidP="00706895">
            <w:pPr>
              <w:rPr>
                <w:rFonts w:ascii="Century Gothic" w:eastAsia="Times New Roman" w:hAnsi="Century Gothic"/>
                <w:b/>
                <w:bCs/>
                <w:sz w:val="20"/>
                <w:szCs w:val="20"/>
                <w:lang w:eastAsia="es-ES"/>
              </w:rPr>
            </w:pPr>
          </w:p>
        </w:tc>
        <w:tc>
          <w:tcPr>
            <w:tcW w:w="1955" w:type="dxa"/>
            <w:gridSpan w:val="3"/>
            <w:shd w:val="clear" w:color="auto" w:fill="E7B3E3"/>
            <w:vAlign w:val="center"/>
          </w:tcPr>
          <w:p w14:paraId="7EF7CECD" w14:textId="77777777" w:rsidR="00706895" w:rsidRPr="005E3E04" w:rsidRDefault="00706895" w:rsidP="00706895">
            <w:pPr>
              <w:rPr>
                <w:rFonts w:ascii="Century Gothic" w:eastAsia="Times New Roman" w:hAnsi="Century Gothic"/>
                <w:b/>
                <w:bCs/>
                <w:sz w:val="20"/>
                <w:szCs w:val="20"/>
                <w:lang w:eastAsia="es-ES"/>
              </w:rPr>
            </w:pPr>
            <w:r>
              <w:rPr>
                <w:rFonts w:ascii="Century Gothic" w:eastAsia="Times New Roman" w:hAnsi="Century Gothic"/>
                <w:b/>
                <w:bCs/>
                <w:sz w:val="20"/>
                <w:szCs w:val="20"/>
                <w:lang w:eastAsia="es-ES"/>
              </w:rPr>
              <w:t>Cargo:</w:t>
            </w:r>
          </w:p>
        </w:tc>
        <w:tc>
          <w:tcPr>
            <w:tcW w:w="3163" w:type="dxa"/>
            <w:gridSpan w:val="6"/>
            <w:shd w:val="clear" w:color="auto" w:fill="auto"/>
            <w:vAlign w:val="center"/>
          </w:tcPr>
          <w:p w14:paraId="03C58DC8" w14:textId="77777777" w:rsidR="00706895" w:rsidRPr="005E3E04" w:rsidRDefault="00706895" w:rsidP="00706895">
            <w:pPr>
              <w:rPr>
                <w:rFonts w:ascii="Century Gothic" w:eastAsia="Times New Roman" w:hAnsi="Century Gothic"/>
                <w:b/>
                <w:bCs/>
                <w:sz w:val="20"/>
                <w:szCs w:val="20"/>
                <w:lang w:eastAsia="es-ES"/>
              </w:rPr>
            </w:pPr>
          </w:p>
        </w:tc>
      </w:tr>
      <w:tr w:rsidR="00706895" w:rsidRPr="00D06F30" w14:paraId="7873CBA7" w14:textId="77777777" w:rsidTr="00E46741">
        <w:trPr>
          <w:gridAfter w:val="1"/>
          <w:wAfter w:w="44" w:type="dxa"/>
        </w:trPr>
        <w:tc>
          <w:tcPr>
            <w:tcW w:w="10320" w:type="dxa"/>
            <w:gridSpan w:val="13"/>
            <w:tcBorders>
              <w:left w:val="single" w:sz="4" w:space="0" w:color="auto"/>
              <w:right w:val="single" w:sz="4" w:space="0" w:color="auto"/>
            </w:tcBorders>
            <w:shd w:val="clear" w:color="auto" w:fill="auto"/>
          </w:tcPr>
          <w:p w14:paraId="4F1034E3" w14:textId="77777777" w:rsidR="00706895" w:rsidRDefault="00706895" w:rsidP="00706895">
            <w:pPr>
              <w:rPr>
                <w:rFonts w:ascii="Century Gothic" w:hAnsi="Century Gothic" w:cs="Arial"/>
                <w:b/>
                <w:sz w:val="28"/>
                <w:szCs w:val="18"/>
              </w:rPr>
            </w:pPr>
          </w:p>
          <w:p w14:paraId="3BC9D470" w14:textId="77777777" w:rsidR="00706895" w:rsidRDefault="00706895" w:rsidP="00706895">
            <w:pPr>
              <w:rPr>
                <w:rFonts w:ascii="Century Gothic" w:hAnsi="Century Gothic" w:cs="Arial"/>
                <w:b/>
                <w:sz w:val="28"/>
                <w:szCs w:val="18"/>
              </w:rPr>
            </w:pPr>
          </w:p>
          <w:p w14:paraId="48E79CB6" w14:textId="77777777" w:rsidR="00706895" w:rsidRPr="00D06F30" w:rsidRDefault="00706895" w:rsidP="00706895">
            <w:pPr>
              <w:rPr>
                <w:rFonts w:ascii="Century Gothic" w:hAnsi="Century Gothic" w:cs="Arial"/>
                <w:b/>
                <w:sz w:val="28"/>
                <w:szCs w:val="18"/>
              </w:rPr>
            </w:pPr>
          </w:p>
        </w:tc>
      </w:tr>
      <w:tr w:rsidR="00706895" w:rsidRPr="005E3E04" w14:paraId="4116DB06" w14:textId="77777777" w:rsidTr="006C1C9B">
        <w:trPr>
          <w:gridAfter w:val="1"/>
          <w:wAfter w:w="44" w:type="dxa"/>
          <w:trHeight w:val="375"/>
        </w:trPr>
        <w:tc>
          <w:tcPr>
            <w:tcW w:w="5246" w:type="dxa"/>
            <w:gridSpan w:val="5"/>
            <w:shd w:val="clear" w:color="auto" w:fill="E7B3E3"/>
            <w:vAlign w:val="center"/>
          </w:tcPr>
          <w:p w14:paraId="0D58C832" w14:textId="77777777" w:rsidR="00706895" w:rsidRDefault="00706895" w:rsidP="00706895">
            <w:pPr>
              <w:rPr>
                <w:rFonts w:ascii="Century Gothic" w:eastAsia="Times New Roman" w:hAnsi="Century Gothic"/>
                <w:b/>
                <w:bCs/>
                <w:sz w:val="20"/>
                <w:szCs w:val="20"/>
                <w:lang w:eastAsia="es-ES"/>
              </w:rPr>
            </w:pPr>
            <w:r>
              <w:rPr>
                <w:rFonts w:ascii="Century Gothic" w:eastAsia="Times New Roman" w:hAnsi="Century Gothic"/>
                <w:b/>
                <w:bCs/>
                <w:sz w:val="20"/>
                <w:szCs w:val="20"/>
                <w:lang w:eastAsia="es-ES"/>
              </w:rPr>
              <w:t xml:space="preserve">Aprobado por: </w:t>
            </w:r>
          </w:p>
        </w:tc>
        <w:tc>
          <w:tcPr>
            <w:tcW w:w="5074" w:type="dxa"/>
            <w:gridSpan w:val="8"/>
            <w:shd w:val="clear" w:color="auto" w:fill="auto"/>
            <w:vAlign w:val="center"/>
          </w:tcPr>
          <w:p w14:paraId="2204E9D4" w14:textId="77777777" w:rsidR="00706895" w:rsidRDefault="00706895" w:rsidP="00706895">
            <w:pPr>
              <w:rPr>
                <w:rFonts w:ascii="Century Gothic" w:eastAsia="Times New Roman" w:hAnsi="Century Gothic"/>
                <w:b/>
                <w:bCs/>
                <w:sz w:val="20"/>
                <w:szCs w:val="20"/>
                <w:lang w:eastAsia="es-ES"/>
              </w:rPr>
            </w:pPr>
            <w:r>
              <w:rPr>
                <w:rFonts w:ascii="Century Gothic" w:eastAsia="Times New Roman" w:hAnsi="Century Gothic"/>
                <w:b/>
                <w:bCs/>
                <w:sz w:val="20"/>
                <w:szCs w:val="20"/>
                <w:lang w:eastAsia="es-ES"/>
              </w:rPr>
              <w:t>Ing. Marco Núñez Mancheno</w:t>
            </w:r>
          </w:p>
          <w:p w14:paraId="318B1E51" w14:textId="77777777" w:rsidR="00706895" w:rsidRPr="003C390C" w:rsidRDefault="00706895" w:rsidP="00706895">
            <w:pPr>
              <w:rPr>
                <w:rFonts w:ascii="Century Gothic" w:hAnsi="Century Gothic" w:cs="Arial"/>
                <w:b/>
                <w:sz w:val="20"/>
                <w:szCs w:val="28"/>
              </w:rPr>
            </w:pPr>
            <w:r>
              <w:rPr>
                <w:rFonts w:ascii="Century Gothic" w:eastAsia="Times New Roman" w:hAnsi="Century Gothic"/>
                <w:b/>
                <w:bCs/>
                <w:sz w:val="20"/>
                <w:szCs w:val="20"/>
                <w:lang w:eastAsia="es-ES"/>
              </w:rPr>
              <w:t>DIRECTOR GENERAL DEL CRSSMJCGCSSFD</w:t>
            </w:r>
          </w:p>
        </w:tc>
      </w:tr>
    </w:tbl>
    <w:p w14:paraId="7DAC50A7" w14:textId="4028E325" w:rsidR="0033592C" w:rsidRPr="00B16EDF" w:rsidRDefault="0033592C" w:rsidP="002C1D28">
      <w:pPr>
        <w:pStyle w:val="Sinespaciado"/>
        <w:ind w:left="720"/>
        <w:rPr>
          <w:rFonts w:ascii="Book Antiqua" w:hAnsi="Book Antiqua"/>
          <w:b/>
          <w:bCs/>
          <w:sz w:val="24"/>
          <w:szCs w:val="24"/>
        </w:rPr>
      </w:pPr>
      <w:r>
        <w:rPr>
          <w:rFonts w:ascii="Book Antiqua" w:hAnsi="Book Antiqua"/>
          <w:sz w:val="24"/>
          <w:szCs w:val="24"/>
          <w:lang w:val="es-ES_tradnl"/>
        </w:rPr>
        <w:t xml:space="preserve"> </w:t>
      </w:r>
    </w:p>
    <w:sectPr w:rsidR="0033592C" w:rsidRPr="00B16EDF" w:rsidSect="006E4CA0">
      <w:headerReference w:type="even" r:id="rId10"/>
      <w:headerReference w:type="default" r:id="rId11"/>
      <w:footerReference w:type="even" r:id="rId12"/>
      <w:footerReference w:type="default" r:id="rId13"/>
      <w:headerReference w:type="first" r:id="rId14"/>
      <w:footerReference w:type="first" r:id="rId15"/>
      <w:pgSz w:w="11900" w:h="16840"/>
      <w:pgMar w:top="1668"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2DAC0" w14:textId="77777777" w:rsidR="009E31FF" w:rsidRDefault="009E31FF" w:rsidP="00B02490">
      <w:r>
        <w:separator/>
      </w:r>
    </w:p>
  </w:endnote>
  <w:endnote w:type="continuationSeparator" w:id="0">
    <w:p w14:paraId="429EE123" w14:textId="77777777" w:rsidR="009E31FF" w:rsidRDefault="009E31FF" w:rsidP="00B0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5E99" w14:textId="77777777" w:rsidR="00850424" w:rsidRDefault="008504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87BCC" w14:textId="34623AB7" w:rsidR="00850424" w:rsidRPr="0073494A" w:rsidRDefault="00850424" w:rsidP="00FA66D5">
    <w:pPr>
      <w:pStyle w:val="Piedepgina"/>
      <w:jc w:val="right"/>
      <w:rPr>
        <w:i/>
        <w:sz w:val="20"/>
      </w:rPr>
    </w:pPr>
    <w:r>
      <w:tab/>
    </w:r>
    <w:r w:rsidRPr="0073494A">
      <w:rPr>
        <w:i/>
        <w:sz w:val="20"/>
      </w:rPr>
      <w:t>Versión: CRSSMJCGCSSFD-DG</w:t>
    </w:r>
    <w:r>
      <w:rPr>
        <w:i/>
        <w:sz w:val="20"/>
      </w:rPr>
      <w:t>-ET</w:t>
    </w:r>
    <w:r w:rsidRPr="0073494A">
      <w:rPr>
        <w:i/>
        <w:sz w:val="20"/>
      </w:rPr>
      <w:t>-0</w:t>
    </w:r>
    <w:r w:rsidR="000E7EAB">
      <w:rPr>
        <w:i/>
        <w:sz w:val="20"/>
      </w:rPr>
      <w:t>5</w:t>
    </w:r>
  </w:p>
  <w:p>
    <w:pPr>
      <w:pStyle w:val="Piedepgina"/>
      <w:jc w:val="right"/>
      <w:rPr>
        <w:i/>
        <w:sz w:val="16"/>
      </w:rPr>
    </w:pPr>
    <w:r>
      <w:rPr>
        <w:i/>
        <w:sz w:val="16"/>
      </w:rPr>
      <w:t>Actualizado conforme a la reforma del Reglamento General a la LOSNCP dispuesta por el Decreto Ejecutivo No. 461 (R.O. 337-3S, 30-jul-2026)</w:t>
    </w:r>
  </w:p>
  <w:p>
    <w:pPr>
      <w:pStyle w:val="Piedepgina"/>
      <w:jc w:val="right"/>
      <w:rPr>
        <w:i/>
        <w:sz w:val="16"/>
      </w:rPr>
    </w:pPr>
    <w:r>
      <w:rPr>
        <w:i/>
        <w:sz w:val="16"/>
      </w:rPr>
      <w:t>Anexo 2 del Procedimiento PR-IC-01 (Especificaciones Técnicas — Arts. 76 y 77 RLOSNCP — Actividad 6)</w:t>
    </w:r>
  </w:p>
  <w:p>
    <w:pPr>
      <w:pStyle w:val="Piedepgina"/>
      <w:jc w:val="right"/>
      <w:rPr>
        <w:i/>
        <w:sz w:val="16"/>
      </w:rPr>
    </w:pPr>
    <w:r>
      <w:rPr>
        <w:i/>
        <w:sz w:val="16"/>
      </w:rPr>
      <w:t>Aprobado mediante Resolución Adm. N.° 079-CRSSMJCGCSSFD-DG-2026 (SGD 2026-337, 27-ago-2026)</w:t>
    </w:r>
  </w:p>
  <w:p w14:paraId="0DAE4E9E" w14:textId="2D4EDDB8" w:rsidR="00850424" w:rsidRDefault="00850424" w:rsidP="00FA66D5">
    <w:pPr>
      <w:pStyle w:val="Piedepgina"/>
      <w:tabs>
        <w:tab w:val="clear" w:pos="4419"/>
        <w:tab w:val="clear" w:pos="8838"/>
        <w:tab w:val="left" w:pos="628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FF24B" w14:textId="77777777" w:rsidR="00850424" w:rsidRDefault="008504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4A417" w14:textId="77777777" w:rsidR="009E31FF" w:rsidRDefault="009E31FF" w:rsidP="00B02490">
      <w:r>
        <w:separator/>
      </w:r>
    </w:p>
  </w:footnote>
  <w:footnote w:type="continuationSeparator" w:id="0">
    <w:p w14:paraId="3306D100" w14:textId="77777777" w:rsidR="009E31FF" w:rsidRDefault="009E31FF" w:rsidP="00B02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96183" w14:textId="77777777" w:rsidR="00850424" w:rsidRDefault="0085042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00DDF" w14:textId="77777777" w:rsidR="00850424" w:rsidRDefault="00850424">
    <w:pPr>
      <w:pStyle w:val="Encabezado"/>
    </w:pPr>
    <w:r>
      <w:rPr>
        <w:noProof/>
      </w:rPr>
      <w:drawing>
        <wp:anchor distT="0" distB="0" distL="114300" distR="114300" simplePos="0" relativeHeight="251658240" behindDoc="1" locked="0" layoutInCell="1" allowOverlap="1" wp14:anchorId="5334E2F6" wp14:editId="7CED89CC">
          <wp:simplePos x="0" y="0"/>
          <wp:positionH relativeFrom="margin">
            <wp:align>center</wp:align>
          </wp:positionH>
          <wp:positionV relativeFrom="paragraph">
            <wp:posOffset>-450215</wp:posOffset>
          </wp:positionV>
          <wp:extent cx="7605340" cy="10698480"/>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53332" name="Imagen 800353332"/>
                  <pic:cNvPicPr/>
                </pic:nvPicPr>
                <pic:blipFill>
                  <a:blip r:embed="rId1">
                    <a:extLst>
                      <a:ext uri="{28A0092B-C50C-407E-A947-70E740481C1C}">
                        <a14:useLocalDpi xmlns:a14="http://schemas.microsoft.com/office/drawing/2010/main" val="0"/>
                      </a:ext>
                    </a:extLst>
                  </a:blip>
                  <a:stretch>
                    <a:fillRect/>
                  </a:stretch>
                </pic:blipFill>
                <pic:spPr>
                  <a:xfrm>
                    <a:off x="0" y="0"/>
                    <a:ext cx="7605340" cy="106984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BE9C4" w14:textId="77777777" w:rsidR="00850424" w:rsidRDefault="008504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14D4"/>
    <w:multiLevelType w:val="multilevel"/>
    <w:tmpl w:val="614AB8DA"/>
    <w:lvl w:ilvl="0">
      <w:start w:val="1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20DC9"/>
    <w:multiLevelType w:val="hybridMultilevel"/>
    <w:tmpl w:val="57DABAA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91D5C7B"/>
    <w:multiLevelType w:val="multilevel"/>
    <w:tmpl w:val="8CCA9270"/>
    <w:lvl w:ilvl="0">
      <w:start w:val="10"/>
      <w:numFmt w:val="decimal"/>
      <w:lvlText w:val="%1."/>
      <w:lvlJc w:val="left"/>
      <w:pPr>
        <w:ind w:left="644"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356F8"/>
    <w:multiLevelType w:val="hybridMultilevel"/>
    <w:tmpl w:val="7EDE78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761189E"/>
    <w:multiLevelType w:val="hybridMultilevel"/>
    <w:tmpl w:val="ED2EA18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27907D65"/>
    <w:multiLevelType w:val="hybridMultilevel"/>
    <w:tmpl w:val="FBBE504E"/>
    <w:lvl w:ilvl="0" w:tplc="300A000F">
      <w:start w:val="1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BC6059D"/>
    <w:multiLevelType w:val="hybridMultilevel"/>
    <w:tmpl w:val="0EAE895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2EF952C5"/>
    <w:multiLevelType w:val="hybridMultilevel"/>
    <w:tmpl w:val="260035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4265EE2"/>
    <w:multiLevelType w:val="hybridMultilevel"/>
    <w:tmpl w:val="2ABCFA5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45F91397"/>
    <w:multiLevelType w:val="hybridMultilevel"/>
    <w:tmpl w:val="36DE529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50A62AF9"/>
    <w:multiLevelType w:val="hybridMultilevel"/>
    <w:tmpl w:val="5FE2DBA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521B2AA7"/>
    <w:multiLevelType w:val="hybridMultilevel"/>
    <w:tmpl w:val="B0A2D9C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535C2721"/>
    <w:multiLevelType w:val="hybridMultilevel"/>
    <w:tmpl w:val="CF56A4EC"/>
    <w:lvl w:ilvl="0" w:tplc="2780DC2A">
      <w:start w:val="1"/>
      <w:numFmt w:val="bullet"/>
      <w:lvlText w:val="-"/>
      <w:lvlJc w:val="left"/>
      <w:pPr>
        <w:ind w:left="720" w:hanging="360"/>
      </w:pPr>
      <w:rPr>
        <w:rFonts w:ascii="Century Gothic" w:eastAsiaTheme="minorHAnsi" w:hAnsi="Century Gothic" w:cs="Courier New"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C824102"/>
    <w:multiLevelType w:val="multilevel"/>
    <w:tmpl w:val="3CECA89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713056F"/>
    <w:multiLevelType w:val="multilevel"/>
    <w:tmpl w:val="4D00663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B17683"/>
    <w:multiLevelType w:val="hybridMultilevel"/>
    <w:tmpl w:val="A78E8844"/>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6ECE1344"/>
    <w:multiLevelType w:val="hybridMultilevel"/>
    <w:tmpl w:val="24D68916"/>
    <w:lvl w:ilvl="0" w:tplc="91AAC23A">
      <w:start w:val="1"/>
      <w:numFmt w:val="lowerLetter"/>
      <w:lvlText w:val="%1)"/>
      <w:lvlJc w:val="left"/>
      <w:pPr>
        <w:ind w:left="360" w:hanging="360"/>
      </w:pPr>
      <w:rPr>
        <w:b/>
        <w:bCs/>
      </w:rPr>
    </w:lvl>
    <w:lvl w:ilvl="1" w:tplc="A02E9070">
      <w:numFmt w:val="bullet"/>
      <w:lvlText w:val="-"/>
      <w:lvlJc w:val="left"/>
      <w:pPr>
        <w:ind w:left="1425" w:hanging="705"/>
      </w:pPr>
      <w:rPr>
        <w:rFonts w:ascii="Century Gothic" w:eastAsiaTheme="minorHAnsi" w:hAnsi="Century Gothic" w:cstheme="minorBidi"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7D6F5234"/>
    <w:multiLevelType w:val="hybridMultilevel"/>
    <w:tmpl w:val="C1FC6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0"/>
  </w:num>
  <w:num w:numId="4">
    <w:abstractNumId w:val="9"/>
  </w:num>
  <w:num w:numId="5">
    <w:abstractNumId w:val="8"/>
  </w:num>
  <w:num w:numId="6">
    <w:abstractNumId w:val="17"/>
  </w:num>
  <w:num w:numId="7">
    <w:abstractNumId w:val="15"/>
  </w:num>
  <w:num w:numId="8">
    <w:abstractNumId w:val="3"/>
  </w:num>
  <w:num w:numId="9">
    <w:abstractNumId w:val="14"/>
  </w:num>
  <w:num w:numId="10">
    <w:abstractNumId w:val="2"/>
  </w:num>
  <w:num w:numId="11">
    <w:abstractNumId w:val="5"/>
  </w:num>
  <w:num w:numId="12">
    <w:abstractNumId w:val="13"/>
  </w:num>
  <w:num w:numId="13">
    <w:abstractNumId w:val="0"/>
  </w:num>
  <w:num w:numId="14">
    <w:abstractNumId w:val="16"/>
  </w:num>
  <w:num w:numId="15">
    <w:abstractNumId w:val="11"/>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90"/>
    <w:rsid w:val="000107ED"/>
    <w:rsid w:val="00012FB4"/>
    <w:rsid w:val="00023A01"/>
    <w:rsid w:val="00033F26"/>
    <w:rsid w:val="00040E60"/>
    <w:rsid w:val="00044271"/>
    <w:rsid w:val="00044767"/>
    <w:rsid w:val="000475FC"/>
    <w:rsid w:val="000509F4"/>
    <w:rsid w:val="00054FDF"/>
    <w:rsid w:val="000605C1"/>
    <w:rsid w:val="00061179"/>
    <w:rsid w:val="00066A5A"/>
    <w:rsid w:val="000742D5"/>
    <w:rsid w:val="00084EFA"/>
    <w:rsid w:val="0008645F"/>
    <w:rsid w:val="000A4BDD"/>
    <w:rsid w:val="000A6991"/>
    <w:rsid w:val="000B032C"/>
    <w:rsid w:val="000B07E6"/>
    <w:rsid w:val="000B7C8C"/>
    <w:rsid w:val="000C1677"/>
    <w:rsid w:val="000C51CB"/>
    <w:rsid w:val="000D02CC"/>
    <w:rsid w:val="000D5A3B"/>
    <w:rsid w:val="000E3DEC"/>
    <w:rsid w:val="000E6F4A"/>
    <w:rsid w:val="000E6F8E"/>
    <w:rsid w:val="000E7EAB"/>
    <w:rsid w:val="000F58BA"/>
    <w:rsid w:val="000F5A8C"/>
    <w:rsid w:val="001020DA"/>
    <w:rsid w:val="00106AF0"/>
    <w:rsid w:val="00110A3D"/>
    <w:rsid w:val="00111F21"/>
    <w:rsid w:val="0012106B"/>
    <w:rsid w:val="0014044B"/>
    <w:rsid w:val="00141856"/>
    <w:rsid w:val="00142417"/>
    <w:rsid w:val="00147C93"/>
    <w:rsid w:val="00164EAD"/>
    <w:rsid w:val="0016520F"/>
    <w:rsid w:val="00167437"/>
    <w:rsid w:val="0017126C"/>
    <w:rsid w:val="0017258B"/>
    <w:rsid w:val="001752B6"/>
    <w:rsid w:val="00180AE6"/>
    <w:rsid w:val="0019397D"/>
    <w:rsid w:val="0019508F"/>
    <w:rsid w:val="001A1D36"/>
    <w:rsid w:val="001A719B"/>
    <w:rsid w:val="001A76EA"/>
    <w:rsid w:val="001B10E2"/>
    <w:rsid w:val="001B422D"/>
    <w:rsid w:val="001B44C1"/>
    <w:rsid w:val="001C5AA5"/>
    <w:rsid w:val="001D46B5"/>
    <w:rsid w:val="00204CBD"/>
    <w:rsid w:val="00210F46"/>
    <w:rsid w:val="002124DF"/>
    <w:rsid w:val="002141E0"/>
    <w:rsid w:val="002175DC"/>
    <w:rsid w:val="00222DE6"/>
    <w:rsid w:val="0022564C"/>
    <w:rsid w:val="002363C0"/>
    <w:rsid w:val="00237457"/>
    <w:rsid w:val="00237C17"/>
    <w:rsid w:val="00250167"/>
    <w:rsid w:val="00250FDA"/>
    <w:rsid w:val="0025780B"/>
    <w:rsid w:val="0027195C"/>
    <w:rsid w:val="002765F4"/>
    <w:rsid w:val="00280625"/>
    <w:rsid w:val="00282D08"/>
    <w:rsid w:val="0028757F"/>
    <w:rsid w:val="0029284D"/>
    <w:rsid w:val="00295AF7"/>
    <w:rsid w:val="00296C8A"/>
    <w:rsid w:val="002A1003"/>
    <w:rsid w:val="002A4F5D"/>
    <w:rsid w:val="002B0923"/>
    <w:rsid w:val="002B4A68"/>
    <w:rsid w:val="002C1B71"/>
    <w:rsid w:val="002C1D28"/>
    <w:rsid w:val="002C7677"/>
    <w:rsid w:val="002D1BCE"/>
    <w:rsid w:val="002D5A37"/>
    <w:rsid w:val="002E4D13"/>
    <w:rsid w:val="002E6898"/>
    <w:rsid w:val="002E6A3C"/>
    <w:rsid w:val="002E795D"/>
    <w:rsid w:val="002F7283"/>
    <w:rsid w:val="0030043F"/>
    <w:rsid w:val="00306CCF"/>
    <w:rsid w:val="00317C55"/>
    <w:rsid w:val="0032170E"/>
    <w:rsid w:val="003322AA"/>
    <w:rsid w:val="003351E0"/>
    <w:rsid w:val="0033592C"/>
    <w:rsid w:val="00335A85"/>
    <w:rsid w:val="0034566B"/>
    <w:rsid w:val="00350AB5"/>
    <w:rsid w:val="0036268B"/>
    <w:rsid w:val="0037278E"/>
    <w:rsid w:val="00381E71"/>
    <w:rsid w:val="003876BA"/>
    <w:rsid w:val="00391691"/>
    <w:rsid w:val="0039259D"/>
    <w:rsid w:val="0039370C"/>
    <w:rsid w:val="0039463D"/>
    <w:rsid w:val="0039631F"/>
    <w:rsid w:val="003A0740"/>
    <w:rsid w:val="003A1FFF"/>
    <w:rsid w:val="003A56F3"/>
    <w:rsid w:val="003B1091"/>
    <w:rsid w:val="003B2A50"/>
    <w:rsid w:val="003B4594"/>
    <w:rsid w:val="003D1B72"/>
    <w:rsid w:val="003D459A"/>
    <w:rsid w:val="003D553E"/>
    <w:rsid w:val="003D5CA8"/>
    <w:rsid w:val="003F1A18"/>
    <w:rsid w:val="00403A29"/>
    <w:rsid w:val="00410444"/>
    <w:rsid w:val="00413A66"/>
    <w:rsid w:val="00413F67"/>
    <w:rsid w:val="00417D09"/>
    <w:rsid w:val="00417D89"/>
    <w:rsid w:val="00423D2E"/>
    <w:rsid w:val="00425FF3"/>
    <w:rsid w:val="00430875"/>
    <w:rsid w:val="0044322C"/>
    <w:rsid w:val="004444C4"/>
    <w:rsid w:val="004524B9"/>
    <w:rsid w:val="00460D3F"/>
    <w:rsid w:val="00460ECA"/>
    <w:rsid w:val="0046513B"/>
    <w:rsid w:val="004749A8"/>
    <w:rsid w:val="00477282"/>
    <w:rsid w:val="00481D49"/>
    <w:rsid w:val="004902D7"/>
    <w:rsid w:val="004950E7"/>
    <w:rsid w:val="00495849"/>
    <w:rsid w:val="004A06DE"/>
    <w:rsid w:val="004A1A3E"/>
    <w:rsid w:val="004B07A7"/>
    <w:rsid w:val="004B1598"/>
    <w:rsid w:val="004B1927"/>
    <w:rsid w:val="004B53ED"/>
    <w:rsid w:val="004B54DA"/>
    <w:rsid w:val="004B7416"/>
    <w:rsid w:val="004C01D5"/>
    <w:rsid w:val="004C5513"/>
    <w:rsid w:val="004C73C3"/>
    <w:rsid w:val="004E609E"/>
    <w:rsid w:val="004E7AFE"/>
    <w:rsid w:val="004F1192"/>
    <w:rsid w:val="004F5614"/>
    <w:rsid w:val="00500515"/>
    <w:rsid w:val="00504650"/>
    <w:rsid w:val="005177EB"/>
    <w:rsid w:val="00517AA2"/>
    <w:rsid w:val="005200B2"/>
    <w:rsid w:val="00524877"/>
    <w:rsid w:val="00531A26"/>
    <w:rsid w:val="00532467"/>
    <w:rsid w:val="005324AB"/>
    <w:rsid w:val="00536D8C"/>
    <w:rsid w:val="00561077"/>
    <w:rsid w:val="00563AB3"/>
    <w:rsid w:val="00573105"/>
    <w:rsid w:val="00573945"/>
    <w:rsid w:val="00576873"/>
    <w:rsid w:val="00583529"/>
    <w:rsid w:val="00593433"/>
    <w:rsid w:val="0059547A"/>
    <w:rsid w:val="00596946"/>
    <w:rsid w:val="005A05A7"/>
    <w:rsid w:val="005A0624"/>
    <w:rsid w:val="005A3E51"/>
    <w:rsid w:val="005B331C"/>
    <w:rsid w:val="005B618A"/>
    <w:rsid w:val="005B74FC"/>
    <w:rsid w:val="005C2613"/>
    <w:rsid w:val="005C5D25"/>
    <w:rsid w:val="005C63C1"/>
    <w:rsid w:val="005C7DB7"/>
    <w:rsid w:val="005D0BCB"/>
    <w:rsid w:val="005E01C4"/>
    <w:rsid w:val="005E02CE"/>
    <w:rsid w:val="005E130C"/>
    <w:rsid w:val="005E4363"/>
    <w:rsid w:val="005E5CB1"/>
    <w:rsid w:val="005E7934"/>
    <w:rsid w:val="005F5FCB"/>
    <w:rsid w:val="00600059"/>
    <w:rsid w:val="00605566"/>
    <w:rsid w:val="006127E8"/>
    <w:rsid w:val="006141E6"/>
    <w:rsid w:val="00621C96"/>
    <w:rsid w:val="006348BF"/>
    <w:rsid w:val="00634C5A"/>
    <w:rsid w:val="006355FB"/>
    <w:rsid w:val="00641FE4"/>
    <w:rsid w:val="00646369"/>
    <w:rsid w:val="00676338"/>
    <w:rsid w:val="0067750E"/>
    <w:rsid w:val="00692035"/>
    <w:rsid w:val="00693232"/>
    <w:rsid w:val="00695D19"/>
    <w:rsid w:val="006A03B2"/>
    <w:rsid w:val="006A0514"/>
    <w:rsid w:val="006A22FF"/>
    <w:rsid w:val="006B2DA9"/>
    <w:rsid w:val="006C1C9B"/>
    <w:rsid w:val="006C3668"/>
    <w:rsid w:val="006C4D24"/>
    <w:rsid w:val="006C4F8B"/>
    <w:rsid w:val="006D0A0C"/>
    <w:rsid w:val="006E49DA"/>
    <w:rsid w:val="006E4CA0"/>
    <w:rsid w:val="006E6C95"/>
    <w:rsid w:val="006F14E4"/>
    <w:rsid w:val="006F3844"/>
    <w:rsid w:val="007017CF"/>
    <w:rsid w:val="0070287F"/>
    <w:rsid w:val="00706895"/>
    <w:rsid w:val="00715F44"/>
    <w:rsid w:val="00717508"/>
    <w:rsid w:val="00725954"/>
    <w:rsid w:val="00732E29"/>
    <w:rsid w:val="00734B99"/>
    <w:rsid w:val="007375F9"/>
    <w:rsid w:val="00742D01"/>
    <w:rsid w:val="00756A04"/>
    <w:rsid w:val="00762152"/>
    <w:rsid w:val="00782778"/>
    <w:rsid w:val="007832A7"/>
    <w:rsid w:val="007907B3"/>
    <w:rsid w:val="007909F2"/>
    <w:rsid w:val="007A15E6"/>
    <w:rsid w:val="007A186F"/>
    <w:rsid w:val="007A2F60"/>
    <w:rsid w:val="007B007A"/>
    <w:rsid w:val="007C01C7"/>
    <w:rsid w:val="007C4227"/>
    <w:rsid w:val="007D09B2"/>
    <w:rsid w:val="007D5854"/>
    <w:rsid w:val="007F3E8E"/>
    <w:rsid w:val="007F5615"/>
    <w:rsid w:val="007F6DD3"/>
    <w:rsid w:val="00801E37"/>
    <w:rsid w:val="00805218"/>
    <w:rsid w:val="00812D87"/>
    <w:rsid w:val="00814CC8"/>
    <w:rsid w:val="00816374"/>
    <w:rsid w:val="00830E85"/>
    <w:rsid w:val="00832C9F"/>
    <w:rsid w:val="0084108F"/>
    <w:rsid w:val="00850424"/>
    <w:rsid w:val="00853205"/>
    <w:rsid w:val="00854D02"/>
    <w:rsid w:val="00856DB1"/>
    <w:rsid w:val="00860624"/>
    <w:rsid w:val="00864769"/>
    <w:rsid w:val="00870643"/>
    <w:rsid w:val="008736D0"/>
    <w:rsid w:val="00874359"/>
    <w:rsid w:val="00880A70"/>
    <w:rsid w:val="0088300E"/>
    <w:rsid w:val="00884389"/>
    <w:rsid w:val="00884F27"/>
    <w:rsid w:val="0088543B"/>
    <w:rsid w:val="008910D0"/>
    <w:rsid w:val="00892F27"/>
    <w:rsid w:val="008A5583"/>
    <w:rsid w:val="008A58B2"/>
    <w:rsid w:val="008B5146"/>
    <w:rsid w:val="008C55F5"/>
    <w:rsid w:val="008D0E3D"/>
    <w:rsid w:val="008D4856"/>
    <w:rsid w:val="008F1779"/>
    <w:rsid w:val="008F2FF2"/>
    <w:rsid w:val="008F4413"/>
    <w:rsid w:val="008F75F5"/>
    <w:rsid w:val="00905EDD"/>
    <w:rsid w:val="0092163E"/>
    <w:rsid w:val="00927213"/>
    <w:rsid w:val="00933D5F"/>
    <w:rsid w:val="00941409"/>
    <w:rsid w:val="0095622B"/>
    <w:rsid w:val="00957AF6"/>
    <w:rsid w:val="00964BA2"/>
    <w:rsid w:val="00965337"/>
    <w:rsid w:val="0096789C"/>
    <w:rsid w:val="00972EB1"/>
    <w:rsid w:val="00976E46"/>
    <w:rsid w:val="0098211C"/>
    <w:rsid w:val="00982DB1"/>
    <w:rsid w:val="00984869"/>
    <w:rsid w:val="009855A6"/>
    <w:rsid w:val="00987D36"/>
    <w:rsid w:val="00997A64"/>
    <w:rsid w:val="009A323A"/>
    <w:rsid w:val="009A34B1"/>
    <w:rsid w:val="009A3F93"/>
    <w:rsid w:val="009C3A0E"/>
    <w:rsid w:val="009D20F2"/>
    <w:rsid w:val="009E30B8"/>
    <w:rsid w:val="009E31FF"/>
    <w:rsid w:val="009F4B6C"/>
    <w:rsid w:val="00A03D0A"/>
    <w:rsid w:val="00A04531"/>
    <w:rsid w:val="00A04C19"/>
    <w:rsid w:val="00A0536E"/>
    <w:rsid w:val="00A06AF7"/>
    <w:rsid w:val="00A1058A"/>
    <w:rsid w:val="00A12D07"/>
    <w:rsid w:val="00A15D56"/>
    <w:rsid w:val="00A31BE2"/>
    <w:rsid w:val="00A35A1A"/>
    <w:rsid w:val="00A43FD8"/>
    <w:rsid w:val="00A50D66"/>
    <w:rsid w:val="00A5467D"/>
    <w:rsid w:val="00A56106"/>
    <w:rsid w:val="00A562AC"/>
    <w:rsid w:val="00A57066"/>
    <w:rsid w:val="00A615AA"/>
    <w:rsid w:val="00A6433B"/>
    <w:rsid w:val="00A66820"/>
    <w:rsid w:val="00A67325"/>
    <w:rsid w:val="00A67A99"/>
    <w:rsid w:val="00A70C58"/>
    <w:rsid w:val="00A71EAB"/>
    <w:rsid w:val="00A726D2"/>
    <w:rsid w:val="00A76227"/>
    <w:rsid w:val="00A76E7B"/>
    <w:rsid w:val="00A77615"/>
    <w:rsid w:val="00A8624D"/>
    <w:rsid w:val="00A96919"/>
    <w:rsid w:val="00AA68C6"/>
    <w:rsid w:val="00AB4760"/>
    <w:rsid w:val="00AC2CA8"/>
    <w:rsid w:val="00AC4F27"/>
    <w:rsid w:val="00AD7943"/>
    <w:rsid w:val="00AE7037"/>
    <w:rsid w:val="00AF6C8A"/>
    <w:rsid w:val="00AF7059"/>
    <w:rsid w:val="00B02490"/>
    <w:rsid w:val="00B06490"/>
    <w:rsid w:val="00B137A1"/>
    <w:rsid w:val="00B13B46"/>
    <w:rsid w:val="00B16EDF"/>
    <w:rsid w:val="00B2534D"/>
    <w:rsid w:val="00B26A25"/>
    <w:rsid w:val="00B357A2"/>
    <w:rsid w:val="00B429E9"/>
    <w:rsid w:val="00B4498A"/>
    <w:rsid w:val="00B47FE8"/>
    <w:rsid w:val="00B57245"/>
    <w:rsid w:val="00B57A95"/>
    <w:rsid w:val="00B6267D"/>
    <w:rsid w:val="00B6322E"/>
    <w:rsid w:val="00B63B3E"/>
    <w:rsid w:val="00B71E93"/>
    <w:rsid w:val="00B76128"/>
    <w:rsid w:val="00B82CB6"/>
    <w:rsid w:val="00B85BA6"/>
    <w:rsid w:val="00B91A22"/>
    <w:rsid w:val="00B942FC"/>
    <w:rsid w:val="00B971EF"/>
    <w:rsid w:val="00B977B2"/>
    <w:rsid w:val="00B97F13"/>
    <w:rsid w:val="00BA55AF"/>
    <w:rsid w:val="00BC54E5"/>
    <w:rsid w:val="00BD7479"/>
    <w:rsid w:val="00BD7939"/>
    <w:rsid w:val="00BE420D"/>
    <w:rsid w:val="00BE7453"/>
    <w:rsid w:val="00BF07D2"/>
    <w:rsid w:val="00BF27CB"/>
    <w:rsid w:val="00C14196"/>
    <w:rsid w:val="00C14661"/>
    <w:rsid w:val="00C17949"/>
    <w:rsid w:val="00C244C9"/>
    <w:rsid w:val="00C30DD9"/>
    <w:rsid w:val="00C37D2E"/>
    <w:rsid w:val="00C41870"/>
    <w:rsid w:val="00C525FF"/>
    <w:rsid w:val="00C555C1"/>
    <w:rsid w:val="00C63A78"/>
    <w:rsid w:val="00C72754"/>
    <w:rsid w:val="00C80FD9"/>
    <w:rsid w:val="00C812FD"/>
    <w:rsid w:val="00C87818"/>
    <w:rsid w:val="00C9718A"/>
    <w:rsid w:val="00CA42FE"/>
    <w:rsid w:val="00CA5903"/>
    <w:rsid w:val="00CA60D2"/>
    <w:rsid w:val="00CB180A"/>
    <w:rsid w:val="00CB30FE"/>
    <w:rsid w:val="00CB3BFA"/>
    <w:rsid w:val="00CB69DC"/>
    <w:rsid w:val="00CD361B"/>
    <w:rsid w:val="00CD5B47"/>
    <w:rsid w:val="00CE2D1A"/>
    <w:rsid w:val="00CF27E0"/>
    <w:rsid w:val="00CF529D"/>
    <w:rsid w:val="00D01680"/>
    <w:rsid w:val="00D02A61"/>
    <w:rsid w:val="00D03CD1"/>
    <w:rsid w:val="00D04CA2"/>
    <w:rsid w:val="00D05A05"/>
    <w:rsid w:val="00D0684E"/>
    <w:rsid w:val="00D11989"/>
    <w:rsid w:val="00D14E59"/>
    <w:rsid w:val="00D1550A"/>
    <w:rsid w:val="00D15C15"/>
    <w:rsid w:val="00D16A60"/>
    <w:rsid w:val="00D22886"/>
    <w:rsid w:val="00D34CAC"/>
    <w:rsid w:val="00D3759A"/>
    <w:rsid w:val="00D43134"/>
    <w:rsid w:val="00D50A26"/>
    <w:rsid w:val="00D517E8"/>
    <w:rsid w:val="00D60923"/>
    <w:rsid w:val="00D631DA"/>
    <w:rsid w:val="00D74FF6"/>
    <w:rsid w:val="00D8020D"/>
    <w:rsid w:val="00D94DA6"/>
    <w:rsid w:val="00D94E05"/>
    <w:rsid w:val="00D95155"/>
    <w:rsid w:val="00D9741F"/>
    <w:rsid w:val="00DA4528"/>
    <w:rsid w:val="00DA53AB"/>
    <w:rsid w:val="00DA7330"/>
    <w:rsid w:val="00DB1081"/>
    <w:rsid w:val="00DB2BF6"/>
    <w:rsid w:val="00DB494F"/>
    <w:rsid w:val="00DC0440"/>
    <w:rsid w:val="00DC23BA"/>
    <w:rsid w:val="00DC2D43"/>
    <w:rsid w:val="00DD29A5"/>
    <w:rsid w:val="00DE57DA"/>
    <w:rsid w:val="00E12BB1"/>
    <w:rsid w:val="00E17613"/>
    <w:rsid w:val="00E23D04"/>
    <w:rsid w:val="00E34C8A"/>
    <w:rsid w:val="00E42012"/>
    <w:rsid w:val="00E43720"/>
    <w:rsid w:val="00E43C41"/>
    <w:rsid w:val="00E43E72"/>
    <w:rsid w:val="00E46741"/>
    <w:rsid w:val="00E47CA7"/>
    <w:rsid w:val="00E50A07"/>
    <w:rsid w:val="00E64E74"/>
    <w:rsid w:val="00E64EC2"/>
    <w:rsid w:val="00E70E45"/>
    <w:rsid w:val="00E71D05"/>
    <w:rsid w:val="00E74C79"/>
    <w:rsid w:val="00E86CE5"/>
    <w:rsid w:val="00E87565"/>
    <w:rsid w:val="00E94047"/>
    <w:rsid w:val="00E97C53"/>
    <w:rsid w:val="00EA4230"/>
    <w:rsid w:val="00EA64FB"/>
    <w:rsid w:val="00EB08D2"/>
    <w:rsid w:val="00EB0B83"/>
    <w:rsid w:val="00EC17A6"/>
    <w:rsid w:val="00EC29BB"/>
    <w:rsid w:val="00EC53DD"/>
    <w:rsid w:val="00EC541A"/>
    <w:rsid w:val="00ED34AE"/>
    <w:rsid w:val="00EE69A4"/>
    <w:rsid w:val="00F03DD6"/>
    <w:rsid w:val="00F05CF6"/>
    <w:rsid w:val="00F12AE6"/>
    <w:rsid w:val="00F240E5"/>
    <w:rsid w:val="00F24CA0"/>
    <w:rsid w:val="00F27108"/>
    <w:rsid w:val="00F30B64"/>
    <w:rsid w:val="00F3327A"/>
    <w:rsid w:val="00F372AD"/>
    <w:rsid w:val="00F448F6"/>
    <w:rsid w:val="00F54FF1"/>
    <w:rsid w:val="00F607C5"/>
    <w:rsid w:val="00F63783"/>
    <w:rsid w:val="00F778E8"/>
    <w:rsid w:val="00F92E65"/>
    <w:rsid w:val="00F939F9"/>
    <w:rsid w:val="00FA4DDF"/>
    <w:rsid w:val="00FA66D5"/>
    <w:rsid w:val="00FB7EA0"/>
    <w:rsid w:val="00FC2AFD"/>
    <w:rsid w:val="00FC3E1B"/>
    <w:rsid w:val="00FC6205"/>
    <w:rsid w:val="00FC6E2C"/>
    <w:rsid w:val="00FD052F"/>
    <w:rsid w:val="00FD5F2E"/>
    <w:rsid w:val="00FE017C"/>
    <w:rsid w:val="00FF499A"/>
    <w:rsid w:val="00FF58BD"/>
    <w:rsid w:val="00FF598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E0692"/>
  <w15:chartTrackingRefBased/>
  <w15:docId w15:val="{62AC7F7B-A137-5742-BBB3-27942AC0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C"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490"/>
    <w:rPr>
      <w:sz w:val="22"/>
      <w:szCs w:val="22"/>
    </w:rPr>
  </w:style>
  <w:style w:type="paragraph" w:styleId="Ttulo1">
    <w:name w:val="heading 1"/>
    <w:basedOn w:val="Normal"/>
    <w:next w:val="Normal"/>
    <w:link w:val="Ttulo1Car"/>
    <w:uiPriority w:val="9"/>
    <w:qFormat/>
    <w:rsid w:val="00B024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0249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2490"/>
    <w:rPr>
      <w:rFonts w:asciiTheme="majorHAnsi" w:eastAsiaTheme="majorEastAsia" w:hAnsiTheme="majorHAnsi" w:cstheme="majorBidi"/>
      <w:color w:val="2F5496" w:themeColor="accent1" w:themeShade="BF"/>
      <w:sz w:val="32"/>
      <w:szCs w:val="32"/>
    </w:rPr>
  </w:style>
  <w:style w:type="paragraph" w:styleId="Subttulo">
    <w:name w:val="Subtitle"/>
    <w:basedOn w:val="Normal"/>
    <w:next w:val="Normal"/>
    <w:link w:val="SubttuloCar"/>
    <w:uiPriority w:val="11"/>
    <w:qFormat/>
    <w:rsid w:val="00B02490"/>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2490"/>
    <w:rPr>
      <w:rFonts w:eastAsiaTheme="minorEastAsia"/>
      <w:color w:val="5A5A5A" w:themeColor="text1" w:themeTint="A5"/>
      <w:spacing w:val="15"/>
      <w:sz w:val="22"/>
      <w:szCs w:val="22"/>
    </w:rPr>
  </w:style>
  <w:style w:type="character" w:customStyle="1" w:styleId="Ttulo2Car">
    <w:name w:val="Título 2 Car"/>
    <w:basedOn w:val="Fuentedeprrafopredeter"/>
    <w:link w:val="Ttulo2"/>
    <w:uiPriority w:val="9"/>
    <w:rsid w:val="00B02490"/>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B02490"/>
    <w:pPr>
      <w:tabs>
        <w:tab w:val="center" w:pos="4419"/>
        <w:tab w:val="right" w:pos="8838"/>
      </w:tabs>
    </w:pPr>
    <w:rPr>
      <w:sz w:val="24"/>
      <w:szCs w:val="24"/>
    </w:rPr>
  </w:style>
  <w:style w:type="character" w:customStyle="1" w:styleId="EncabezadoCar">
    <w:name w:val="Encabezado Car"/>
    <w:basedOn w:val="Fuentedeprrafopredeter"/>
    <w:link w:val="Encabezado"/>
    <w:uiPriority w:val="99"/>
    <w:rsid w:val="00B02490"/>
  </w:style>
  <w:style w:type="paragraph" w:styleId="Piedepgina">
    <w:name w:val="footer"/>
    <w:basedOn w:val="Normal"/>
    <w:link w:val="PiedepginaCar"/>
    <w:uiPriority w:val="99"/>
    <w:unhideWhenUsed/>
    <w:rsid w:val="00B02490"/>
    <w:pPr>
      <w:tabs>
        <w:tab w:val="center" w:pos="4419"/>
        <w:tab w:val="right" w:pos="8838"/>
      </w:tabs>
    </w:pPr>
    <w:rPr>
      <w:sz w:val="24"/>
      <w:szCs w:val="24"/>
    </w:rPr>
  </w:style>
  <w:style w:type="character" w:customStyle="1" w:styleId="PiedepginaCar">
    <w:name w:val="Pie de página Car"/>
    <w:basedOn w:val="Fuentedeprrafopredeter"/>
    <w:link w:val="Piedepgina"/>
    <w:uiPriority w:val="99"/>
    <w:rsid w:val="00B02490"/>
  </w:style>
  <w:style w:type="paragraph" w:styleId="NormalWeb">
    <w:name w:val="Normal (Web)"/>
    <w:basedOn w:val="Normal"/>
    <w:uiPriority w:val="99"/>
    <w:unhideWhenUsed/>
    <w:rsid w:val="00B6322E"/>
    <w:pPr>
      <w:spacing w:before="100" w:beforeAutospacing="1" w:after="100" w:afterAutospacing="1"/>
    </w:pPr>
    <w:rPr>
      <w:rFonts w:ascii="Times New Roman" w:eastAsia="Times New Roman" w:hAnsi="Times New Roman" w:cs="Times New Roman"/>
      <w:kern w:val="0"/>
      <w:sz w:val="24"/>
      <w:szCs w:val="24"/>
      <w:lang w:eastAsia="es-EC"/>
      <w14:ligatures w14:val="none"/>
    </w:rPr>
  </w:style>
  <w:style w:type="paragraph" w:styleId="Sinespaciado">
    <w:name w:val="No Spacing"/>
    <w:link w:val="SinespaciadoCar"/>
    <w:uiPriority w:val="1"/>
    <w:qFormat/>
    <w:rsid w:val="002E6898"/>
    <w:rPr>
      <w:rFonts w:ascii="Calibri" w:eastAsia="Calibri" w:hAnsi="Calibri" w:cs="Times New Roman"/>
      <w:kern w:val="0"/>
      <w:sz w:val="22"/>
      <w:szCs w:val="22"/>
      <w:lang w:val="es-ES"/>
      <w14:ligatures w14:val="none"/>
    </w:rPr>
  </w:style>
  <w:style w:type="character" w:customStyle="1" w:styleId="SinespaciadoCar">
    <w:name w:val="Sin espaciado Car"/>
    <w:link w:val="Sinespaciado"/>
    <w:uiPriority w:val="1"/>
    <w:rsid w:val="002E6898"/>
    <w:rPr>
      <w:rFonts w:ascii="Calibri" w:eastAsia="Calibri" w:hAnsi="Calibri" w:cs="Times New Roman"/>
      <w:kern w:val="0"/>
      <w:sz w:val="22"/>
      <w:szCs w:val="22"/>
      <w:lang w:val="es-ES"/>
      <w14:ligatures w14:val="none"/>
    </w:rPr>
  </w:style>
  <w:style w:type="paragraph" w:styleId="Prrafodelista">
    <w:name w:val="List Paragraph"/>
    <w:aliases w:val="Capítulo,TIT 2 IND,titulo 5,Titulo 4,Texto,tEXTO,Titulo parrafo,Párrafo,Dot pt,No Spacing1,List Paragraph Char Char Char,Indicator Text,Numbered Para 1,Colorful List - Accent 11,Bullet 1,F5 List Paragraph,lp1,cuadro ghf1,PARRAFOS,CIEP"/>
    <w:basedOn w:val="Normal"/>
    <w:link w:val="PrrafodelistaCar"/>
    <w:uiPriority w:val="34"/>
    <w:qFormat/>
    <w:rsid w:val="0032170E"/>
    <w:pPr>
      <w:ind w:left="720"/>
      <w:contextualSpacing/>
    </w:pPr>
  </w:style>
  <w:style w:type="table" w:styleId="Tablaconcuadrcula">
    <w:name w:val="Table Grid"/>
    <w:basedOn w:val="Tablanormal"/>
    <w:uiPriority w:val="39"/>
    <w:rsid w:val="00E467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741"/>
    <w:pPr>
      <w:autoSpaceDE w:val="0"/>
      <w:autoSpaceDN w:val="0"/>
      <w:adjustRightInd w:val="0"/>
    </w:pPr>
    <w:rPr>
      <w:rFonts w:ascii="Arial" w:hAnsi="Arial" w:cs="Arial"/>
      <w:color w:val="000000"/>
      <w:kern w:val="0"/>
      <w14:ligatures w14:val="none"/>
    </w:rPr>
  </w:style>
  <w:style w:type="table" w:customStyle="1" w:styleId="Tablaconcuadrcula4-nfasis41">
    <w:name w:val="Tabla con cuadrícula 4 - Énfasis 41"/>
    <w:basedOn w:val="Tablanormal"/>
    <w:uiPriority w:val="49"/>
    <w:rsid w:val="00E46741"/>
    <w:rPr>
      <w:rFonts w:eastAsiaTheme="minorEastAsia"/>
      <w:kern w:val="0"/>
      <w:sz w:val="22"/>
      <w:szCs w:val="22"/>
      <w:lang w:val="es-CO" w:eastAsia="es-CO"/>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PrrafodelistaCar">
    <w:name w:val="Párrafo de lista Car"/>
    <w:aliases w:val="Capítulo Car,TIT 2 IND Car,titulo 5 Car,Titulo 4 Car,Texto Car,tEXTO Car,Titulo parrafo Car,Párrafo Car,Dot pt Car,No Spacing1 Car,List Paragraph Char Char Char Car,Indicator Text Car,Numbered Para 1 Car,Bullet 1 Car,lp1 Car"/>
    <w:link w:val="Prrafodelista"/>
    <w:uiPriority w:val="34"/>
    <w:qFormat/>
    <w:locked/>
    <w:rsid w:val="00E46741"/>
    <w:rPr>
      <w:sz w:val="22"/>
      <w:szCs w:val="22"/>
    </w:rPr>
  </w:style>
  <w:style w:type="paragraph" w:customStyle="1" w:styleId="TableParagraph">
    <w:name w:val="Table Paragraph"/>
    <w:basedOn w:val="Normal"/>
    <w:uiPriority w:val="1"/>
    <w:qFormat/>
    <w:rsid w:val="00E46741"/>
    <w:pPr>
      <w:widowControl w:val="0"/>
      <w:autoSpaceDE w:val="0"/>
      <w:autoSpaceDN w:val="0"/>
    </w:pPr>
    <w:rPr>
      <w:rFonts w:ascii="Verdana" w:eastAsia="Verdana" w:hAnsi="Verdana" w:cs="Verdana"/>
      <w:kern w:val="0"/>
      <w:lang w:val="es-ES"/>
      <w14:ligatures w14:val="none"/>
    </w:rPr>
  </w:style>
  <w:style w:type="paragraph" w:customStyle="1" w:styleId="Standard">
    <w:name w:val="Standard"/>
    <w:rsid w:val="00BC54E5"/>
    <w:pPr>
      <w:autoSpaceDN w:val="0"/>
    </w:pPr>
    <w:rPr>
      <w:rFonts w:ascii="Times New Roman" w:eastAsia="Times New Roman" w:hAnsi="Times New Roman" w:cs="Times New Roman"/>
      <w:kern w:val="0"/>
      <w:sz w:val="20"/>
      <w:szCs w:val="20"/>
      <w:lang w:eastAsia="es-EC"/>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80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BDD74-6518-4AD4-87B7-26EA8057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2399</TotalTime>
  <Pages>35</Pages>
  <Words>16309</Words>
  <Characters>89701</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JURIDICO</cp:lastModifiedBy>
  <cp:revision>268</cp:revision>
  <cp:lastPrinted>2023-10-05T16:11:00Z</cp:lastPrinted>
  <dcterms:created xsi:type="dcterms:W3CDTF">2024-05-22T16:32:00Z</dcterms:created>
  <dcterms:modified xsi:type="dcterms:W3CDTF">2026-08-25T14:03:00Z</dcterms:modified>
</cp:coreProperties>
</file>